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7966" w14:textId="77777777" w:rsidR="009C0423" w:rsidRPr="004829F6" w:rsidRDefault="00297059" w:rsidP="00563EFD">
      <w:pPr>
        <w:pStyle w:val="NormalCentered"/>
      </w:pPr>
      <w:r w:rsidRPr="004829F6">
        <w:rPr>
          <w:noProof/>
          <w:lang w:eastAsia="fr-FR"/>
        </w:rPr>
        <mc:AlternateContent>
          <mc:Choice Requires="wpc">
            <w:drawing>
              <wp:anchor distT="0" distB="0" distL="114300" distR="114300" simplePos="0" relativeHeight="251659264" behindDoc="0" locked="0" layoutInCell="1" allowOverlap="1" wp14:anchorId="53DFE884" wp14:editId="4FE7E632">
                <wp:simplePos x="0" y="0"/>
                <wp:positionH relativeFrom="margin">
                  <wp:align>center</wp:align>
                </wp:positionH>
                <wp:positionV relativeFrom="margin">
                  <wp:align>top</wp:align>
                </wp:positionV>
                <wp:extent cx="7567295" cy="5629275"/>
                <wp:effectExtent l="0" t="0" r="14605" b="0"/>
                <wp:wrapSquare wrapText="bothSides"/>
                <wp:docPr id="7" name="Zone de dessin 1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Freeform 140"/>
                        <wps:cNvSpPr>
                          <a:spLocks/>
                        </wps:cNvSpPr>
                        <wps:spPr bwMode="auto">
                          <a:xfrm>
                            <a:off x="1573653" y="1034454"/>
                            <a:ext cx="5987622" cy="666287"/>
                          </a:xfrm>
                          <a:custGeom>
                            <a:avLst/>
                            <a:gdLst>
                              <a:gd name="T0" fmla="*/ 5010051 w 5096"/>
                              <a:gd name="T1" fmla="*/ 590573 h 704"/>
                              <a:gd name="T2" fmla="*/ 4314472 w 5096"/>
                              <a:gd name="T3" fmla="*/ 469429 h 704"/>
                              <a:gd name="T4" fmla="*/ 3759888 w 5096"/>
                              <a:gd name="T5" fmla="*/ 363429 h 704"/>
                              <a:gd name="T6" fmla="*/ 3111308 w 5096"/>
                              <a:gd name="T7" fmla="*/ 242286 h 704"/>
                              <a:gd name="T8" fmla="*/ 2763518 w 5096"/>
                              <a:gd name="T9" fmla="*/ 181715 h 704"/>
                              <a:gd name="T10" fmla="*/ 2594323 w 5096"/>
                              <a:gd name="T11" fmla="*/ 151429 h 704"/>
                              <a:gd name="T12" fmla="*/ 2509725 w 5096"/>
                              <a:gd name="T13" fmla="*/ 151429 h 704"/>
                              <a:gd name="T14" fmla="*/ 2246533 w 5096"/>
                              <a:gd name="T15" fmla="*/ 106000 h 704"/>
                              <a:gd name="T16" fmla="*/ 1720149 w 5096"/>
                              <a:gd name="T17" fmla="*/ 53000 h 704"/>
                              <a:gd name="T18" fmla="*/ 1062168 w 5096"/>
                              <a:gd name="T19" fmla="*/ 7571 h 704"/>
                              <a:gd name="T20" fmla="*/ 704979 w 5096"/>
                              <a:gd name="T21" fmla="*/ 0 h 704"/>
                              <a:gd name="T22" fmla="*/ 404188 w 5096"/>
                              <a:gd name="T23" fmla="*/ 15143 h 704"/>
                              <a:gd name="T24" fmla="*/ 272592 w 5096"/>
                              <a:gd name="T25" fmla="*/ 22714 h 704"/>
                              <a:gd name="T26" fmla="*/ 93997 w 5096"/>
                              <a:gd name="T27" fmla="*/ 53000 h 704"/>
                              <a:gd name="T28" fmla="*/ 0 w 5096"/>
                              <a:gd name="T29" fmla="*/ 83286 h 704"/>
                              <a:gd name="T30" fmla="*/ 178595 w 5096"/>
                              <a:gd name="T31" fmla="*/ 83286 h 704"/>
                              <a:gd name="T32" fmla="*/ 234993 w 5096"/>
                              <a:gd name="T33" fmla="*/ 75714 h 704"/>
                              <a:gd name="T34" fmla="*/ 507585 w 5096"/>
                              <a:gd name="T35" fmla="*/ 53000 h 704"/>
                              <a:gd name="T36" fmla="*/ 545184 w 5096"/>
                              <a:gd name="T37" fmla="*/ 53000 h 704"/>
                              <a:gd name="T38" fmla="*/ 798976 w 5096"/>
                              <a:gd name="T39" fmla="*/ 45429 h 704"/>
                              <a:gd name="T40" fmla="*/ 958771 w 5096"/>
                              <a:gd name="T41" fmla="*/ 45429 h 704"/>
                              <a:gd name="T42" fmla="*/ 1400558 w 5096"/>
                              <a:gd name="T43" fmla="*/ 68143 h 704"/>
                              <a:gd name="T44" fmla="*/ 1588553 w 5096"/>
                              <a:gd name="T45" fmla="*/ 75714 h 704"/>
                              <a:gd name="T46" fmla="*/ 1955142 w 5096"/>
                              <a:gd name="T47" fmla="*/ 113572 h 704"/>
                              <a:gd name="T48" fmla="*/ 2114937 w 5096"/>
                              <a:gd name="T49" fmla="*/ 136286 h 704"/>
                              <a:gd name="T50" fmla="*/ 2453327 w 5096"/>
                              <a:gd name="T51" fmla="*/ 174143 h 704"/>
                              <a:gd name="T52" fmla="*/ 2547324 w 5096"/>
                              <a:gd name="T53" fmla="*/ 204429 h 704"/>
                              <a:gd name="T54" fmla="*/ 2669521 w 5096"/>
                              <a:gd name="T55" fmla="*/ 204429 h 704"/>
                              <a:gd name="T56" fmla="*/ 2998511 w 5096"/>
                              <a:gd name="T57" fmla="*/ 265001 h 704"/>
                              <a:gd name="T58" fmla="*/ 2810516 w 5096"/>
                              <a:gd name="T59" fmla="*/ 227143 h 704"/>
                              <a:gd name="T60" fmla="*/ 3064309 w 5096"/>
                              <a:gd name="T61" fmla="*/ 280143 h 704"/>
                              <a:gd name="T62" fmla="*/ 3120707 w 5096"/>
                              <a:gd name="T63" fmla="*/ 287715 h 704"/>
                              <a:gd name="T64" fmla="*/ 3468497 w 5096"/>
                              <a:gd name="T65" fmla="*/ 355858 h 704"/>
                              <a:gd name="T66" fmla="*/ 3806887 w 5096"/>
                              <a:gd name="T67" fmla="*/ 408858 h 704"/>
                              <a:gd name="T68" fmla="*/ 3976082 w 5096"/>
                              <a:gd name="T69" fmla="*/ 446715 h 704"/>
                              <a:gd name="T70" fmla="*/ 3994881 w 5096"/>
                              <a:gd name="T71" fmla="*/ 439144 h 704"/>
                              <a:gd name="T72" fmla="*/ 4276873 w 5096"/>
                              <a:gd name="T73" fmla="*/ 499715 h 704"/>
                              <a:gd name="T74" fmla="*/ 4370870 w 5096"/>
                              <a:gd name="T75" fmla="*/ 507287 h 704"/>
                              <a:gd name="T76" fmla="*/ 4455468 w 5096"/>
                              <a:gd name="T77" fmla="*/ 522430 h 704"/>
                              <a:gd name="T78" fmla="*/ 4511866 w 5096"/>
                              <a:gd name="T79" fmla="*/ 530001 h 704"/>
                              <a:gd name="T80" fmla="*/ 4699860 w 5096"/>
                              <a:gd name="T81" fmla="*/ 560287 h 704"/>
                              <a:gd name="T82" fmla="*/ 4991252 w 5096"/>
                              <a:gd name="T83" fmla="*/ 613287 h 704"/>
                              <a:gd name="T84" fmla="*/ 5038250 w 5096"/>
                              <a:gd name="T85" fmla="*/ 613287 h 704"/>
                              <a:gd name="T86" fmla="*/ 5151047 w 5096"/>
                              <a:gd name="T87" fmla="*/ 620858 h 704"/>
                              <a:gd name="T88" fmla="*/ 5376640 w 5096"/>
                              <a:gd name="T89" fmla="*/ 643573 h 704"/>
                              <a:gd name="T90" fmla="*/ 5583434 w 5096"/>
                              <a:gd name="T91" fmla="*/ 651144 h 704"/>
                              <a:gd name="T92" fmla="*/ 5715030 w 5096"/>
                              <a:gd name="T93" fmla="*/ 643573 h 704"/>
                              <a:gd name="T94" fmla="*/ 977571 w 5096"/>
                              <a:gd name="T95" fmla="*/ 45429 h 704"/>
                              <a:gd name="T96" fmla="*/ 1785947 w 5096"/>
                              <a:gd name="T97" fmla="*/ 60572 h 704"/>
                              <a:gd name="T98" fmla="*/ 4502466 w 5096"/>
                              <a:gd name="T99" fmla="*/ 507287 h 704"/>
                              <a:gd name="T100" fmla="*/ 4568264 w 5096"/>
                              <a:gd name="T101" fmla="*/ 522430 h 704"/>
                              <a:gd name="T102" fmla="*/ 3994881 w 5096"/>
                              <a:gd name="T103" fmla="*/ 454287 h 704"/>
                              <a:gd name="T104" fmla="*/ 4041880 w 5096"/>
                              <a:gd name="T105" fmla="*/ 461858 h 704"/>
                              <a:gd name="T106" fmla="*/ 4173476 w 5096"/>
                              <a:gd name="T107" fmla="*/ 477001 h 704"/>
                              <a:gd name="T108" fmla="*/ 4756259 w 5096"/>
                              <a:gd name="T109" fmla="*/ 575430 h 704"/>
                              <a:gd name="T110" fmla="*/ 5151047 w 5096"/>
                              <a:gd name="T111" fmla="*/ 613287 h 704"/>
                              <a:gd name="T112" fmla="*/ 5978222 w 5096"/>
                              <a:gd name="T113" fmla="*/ 590573 h 704"/>
                              <a:gd name="T114" fmla="*/ 5846626 w 5096"/>
                              <a:gd name="T115" fmla="*/ 620858 h 704"/>
                              <a:gd name="T116" fmla="*/ 5771428 w 5096"/>
                              <a:gd name="T117" fmla="*/ 643573 h 704"/>
                              <a:gd name="T118" fmla="*/ 5639832 w 5096"/>
                              <a:gd name="T119" fmla="*/ 658716 h 7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5096" h="704">
                                <a:moveTo>
                                  <a:pt x="4384" y="648"/>
                                </a:moveTo>
                                <a:lnTo>
                                  <a:pt x="4320" y="632"/>
                                </a:lnTo>
                                <a:lnTo>
                                  <a:pt x="4288" y="624"/>
                                </a:lnTo>
                                <a:lnTo>
                                  <a:pt x="4248" y="616"/>
                                </a:lnTo>
                                <a:lnTo>
                                  <a:pt x="4264" y="624"/>
                                </a:lnTo>
                                <a:lnTo>
                                  <a:pt x="4208" y="608"/>
                                </a:lnTo>
                                <a:lnTo>
                                  <a:pt x="4144" y="592"/>
                                </a:lnTo>
                                <a:lnTo>
                                  <a:pt x="4048" y="576"/>
                                </a:lnTo>
                                <a:lnTo>
                                  <a:pt x="3832" y="520"/>
                                </a:lnTo>
                                <a:lnTo>
                                  <a:pt x="3672" y="496"/>
                                </a:lnTo>
                                <a:lnTo>
                                  <a:pt x="3520" y="456"/>
                                </a:lnTo>
                                <a:lnTo>
                                  <a:pt x="3408" y="424"/>
                                </a:lnTo>
                                <a:lnTo>
                                  <a:pt x="3392" y="432"/>
                                </a:lnTo>
                                <a:lnTo>
                                  <a:pt x="3256" y="392"/>
                                </a:lnTo>
                                <a:lnTo>
                                  <a:pt x="3200" y="384"/>
                                </a:lnTo>
                                <a:lnTo>
                                  <a:pt x="3144" y="376"/>
                                </a:lnTo>
                                <a:lnTo>
                                  <a:pt x="3088" y="352"/>
                                </a:lnTo>
                                <a:lnTo>
                                  <a:pt x="3024" y="344"/>
                                </a:lnTo>
                                <a:lnTo>
                                  <a:pt x="3048" y="352"/>
                                </a:lnTo>
                                <a:lnTo>
                                  <a:pt x="2648" y="256"/>
                                </a:lnTo>
                                <a:lnTo>
                                  <a:pt x="2648" y="264"/>
                                </a:lnTo>
                                <a:lnTo>
                                  <a:pt x="2656" y="264"/>
                                </a:lnTo>
                                <a:lnTo>
                                  <a:pt x="2512" y="216"/>
                                </a:lnTo>
                                <a:lnTo>
                                  <a:pt x="2432" y="200"/>
                                </a:lnTo>
                                <a:lnTo>
                                  <a:pt x="2352" y="192"/>
                                </a:lnTo>
                                <a:lnTo>
                                  <a:pt x="2376" y="192"/>
                                </a:lnTo>
                                <a:lnTo>
                                  <a:pt x="2400" y="200"/>
                                </a:lnTo>
                                <a:lnTo>
                                  <a:pt x="2360" y="200"/>
                                </a:lnTo>
                                <a:lnTo>
                                  <a:pt x="2304" y="192"/>
                                </a:lnTo>
                                <a:lnTo>
                                  <a:pt x="2208" y="160"/>
                                </a:lnTo>
                                <a:lnTo>
                                  <a:pt x="2216" y="168"/>
                                </a:lnTo>
                                <a:lnTo>
                                  <a:pt x="2184" y="160"/>
                                </a:lnTo>
                                <a:lnTo>
                                  <a:pt x="2152" y="152"/>
                                </a:lnTo>
                                <a:lnTo>
                                  <a:pt x="2160" y="160"/>
                                </a:lnTo>
                                <a:lnTo>
                                  <a:pt x="2136" y="160"/>
                                </a:lnTo>
                                <a:lnTo>
                                  <a:pt x="2112" y="152"/>
                                </a:lnTo>
                                <a:lnTo>
                                  <a:pt x="2056" y="136"/>
                                </a:lnTo>
                                <a:lnTo>
                                  <a:pt x="1960" y="112"/>
                                </a:lnTo>
                                <a:lnTo>
                                  <a:pt x="1864" y="112"/>
                                </a:lnTo>
                                <a:lnTo>
                                  <a:pt x="1912" y="112"/>
                                </a:lnTo>
                                <a:lnTo>
                                  <a:pt x="1872" y="96"/>
                                </a:lnTo>
                                <a:lnTo>
                                  <a:pt x="1816" y="88"/>
                                </a:lnTo>
                                <a:lnTo>
                                  <a:pt x="1712" y="80"/>
                                </a:lnTo>
                                <a:lnTo>
                                  <a:pt x="1720" y="88"/>
                                </a:lnTo>
                                <a:lnTo>
                                  <a:pt x="1464" y="56"/>
                                </a:lnTo>
                                <a:lnTo>
                                  <a:pt x="1200" y="24"/>
                                </a:lnTo>
                                <a:lnTo>
                                  <a:pt x="1136" y="24"/>
                                </a:lnTo>
                                <a:lnTo>
                                  <a:pt x="1000" y="8"/>
                                </a:lnTo>
                                <a:lnTo>
                                  <a:pt x="1008" y="16"/>
                                </a:lnTo>
                                <a:lnTo>
                                  <a:pt x="904" y="8"/>
                                </a:lnTo>
                                <a:lnTo>
                                  <a:pt x="880" y="16"/>
                                </a:lnTo>
                                <a:lnTo>
                                  <a:pt x="848" y="8"/>
                                </a:lnTo>
                                <a:lnTo>
                                  <a:pt x="784" y="0"/>
                                </a:lnTo>
                                <a:lnTo>
                                  <a:pt x="696" y="8"/>
                                </a:lnTo>
                                <a:lnTo>
                                  <a:pt x="600" y="0"/>
                                </a:lnTo>
                                <a:lnTo>
                                  <a:pt x="584" y="8"/>
                                </a:lnTo>
                                <a:lnTo>
                                  <a:pt x="568" y="8"/>
                                </a:lnTo>
                                <a:lnTo>
                                  <a:pt x="520" y="8"/>
                                </a:lnTo>
                                <a:lnTo>
                                  <a:pt x="432" y="16"/>
                                </a:lnTo>
                                <a:lnTo>
                                  <a:pt x="344" y="16"/>
                                </a:lnTo>
                                <a:lnTo>
                                  <a:pt x="352" y="24"/>
                                </a:lnTo>
                                <a:lnTo>
                                  <a:pt x="264" y="32"/>
                                </a:lnTo>
                                <a:lnTo>
                                  <a:pt x="280" y="24"/>
                                </a:lnTo>
                                <a:lnTo>
                                  <a:pt x="256" y="16"/>
                                </a:lnTo>
                                <a:lnTo>
                                  <a:pt x="232" y="24"/>
                                </a:lnTo>
                                <a:lnTo>
                                  <a:pt x="184" y="40"/>
                                </a:lnTo>
                                <a:lnTo>
                                  <a:pt x="112" y="40"/>
                                </a:lnTo>
                                <a:lnTo>
                                  <a:pt x="96" y="48"/>
                                </a:lnTo>
                                <a:lnTo>
                                  <a:pt x="120" y="48"/>
                                </a:lnTo>
                                <a:lnTo>
                                  <a:pt x="80" y="56"/>
                                </a:lnTo>
                                <a:lnTo>
                                  <a:pt x="40" y="64"/>
                                </a:lnTo>
                                <a:lnTo>
                                  <a:pt x="16" y="72"/>
                                </a:lnTo>
                                <a:lnTo>
                                  <a:pt x="48" y="72"/>
                                </a:lnTo>
                                <a:lnTo>
                                  <a:pt x="8" y="88"/>
                                </a:lnTo>
                                <a:lnTo>
                                  <a:pt x="0" y="88"/>
                                </a:lnTo>
                                <a:lnTo>
                                  <a:pt x="0" y="96"/>
                                </a:lnTo>
                                <a:lnTo>
                                  <a:pt x="56" y="88"/>
                                </a:lnTo>
                                <a:lnTo>
                                  <a:pt x="120" y="88"/>
                                </a:lnTo>
                                <a:lnTo>
                                  <a:pt x="112" y="80"/>
                                </a:lnTo>
                                <a:lnTo>
                                  <a:pt x="152" y="88"/>
                                </a:lnTo>
                                <a:lnTo>
                                  <a:pt x="144" y="88"/>
                                </a:lnTo>
                                <a:lnTo>
                                  <a:pt x="144" y="80"/>
                                </a:lnTo>
                                <a:lnTo>
                                  <a:pt x="168" y="88"/>
                                </a:lnTo>
                                <a:lnTo>
                                  <a:pt x="160" y="88"/>
                                </a:lnTo>
                                <a:lnTo>
                                  <a:pt x="200" y="80"/>
                                </a:lnTo>
                                <a:lnTo>
                                  <a:pt x="216" y="80"/>
                                </a:lnTo>
                                <a:lnTo>
                                  <a:pt x="224" y="72"/>
                                </a:lnTo>
                                <a:lnTo>
                                  <a:pt x="320" y="72"/>
                                </a:lnTo>
                                <a:lnTo>
                                  <a:pt x="312" y="64"/>
                                </a:lnTo>
                                <a:lnTo>
                                  <a:pt x="432" y="56"/>
                                </a:lnTo>
                                <a:lnTo>
                                  <a:pt x="408" y="56"/>
                                </a:lnTo>
                                <a:lnTo>
                                  <a:pt x="408" y="48"/>
                                </a:lnTo>
                                <a:lnTo>
                                  <a:pt x="448" y="48"/>
                                </a:lnTo>
                                <a:lnTo>
                                  <a:pt x="440" y="48"/>
                                </a:lnTo>
                                <a:lnTo>
                                  <a:pt x="464" y="56"/>
                                </a:lnTo>
                                <a:lnTo>
                                  <a:pt x="520" y="56"/>
                                </a:lnTo>
                                <a:lnTo>
                                  <a:pt x="608" y="56"/>
                                </a:lnTo>
                                <a:lnTo>
                                  <a:pt x="592" y="48"/>
                                </a:lnTo>
                                <a:lnTo>
                                  <a:pt x="664" y="56"/>
                                </a:lnTo>
                                <a:lnTo>
                                  <a:pt x="680" y="48"/>
                                </a:lnTo>
                                <a:lnTo>
                                  <a:pt x="712" y="40"/>
                                </a:lnTo>
                                <a:lnTo>
                                  <a:pt x="776" y="48"/>
                                </a:lnTo>
                                <a:lnTo>
                                  <a:pt x="768" y="48"/>
                                </a:lnTo>
                                <a:lnTo>
                                  <a:pt x="792" y="48"/>
                                </a:lnTo>
                                <a:lnTo>
                                  <a:pt x="816" y="48"/>
                                </a:lnTo>
                                <a:lnTo>
                                  <a:pt x="952" y="64"/>
                                </a:lnTo>
                                <a:lnTo>
                                  <a:pt x="952" y="56"/>
                                </a:lnTo>
                                <a:lnTo>
                                  <a:pt x="1000" y="72"/>
                                </a:lnTo>
                                <a:lnTo>
                                  <a:pt x="1096" y="72"/>
                                </a:lnTo>
                                <a:lnTo>
                                  <a:pt x="1192" y="72"/>
                                </a:lnTo>
                                <a:lnTo>
                                  <a:pt x="1248" y="80"/>
                                </a:lnTo>
                                <a:lnTo>
                                  <a:pt x="1280" y="88"/>
                                </a:lnTo>
                                <a:lnTo>
                                  <a:pt x="1312" y="80"/>
                                </a:lnTo>
                                <a:lnTo>
                                  <a:pt x="1288" y="72"/>
                                </a:lnTo>
                                <a:lnTo>
                                  <a:pt x="1352" y="80"/>
                                </a:lnTo>
                                <a:lnTo>
                                  <a:pt x="1328" y="88"/>
                                </a:lnTo>
                                <a:lnTo>
                                  <a:pt x="1344" y="96"/>
                                </a:lnTo>
                                <a:lnTo>
                                  <a:pt x="1336" y="88"/>
                                </a:lnTo>
                                <a:lnTo>
                                  <a:pt x="1560" y="112"/>
                                </a:lnTo>
                                <a:lnTo>
                                  <a:pt x="1664" y="120"/>
                                </a:lnTo>
                                <a:lnTo>
                                  <a:pt x="1768" y="128"/>
                                </a:lnTo>
                                <a:lnTo>
                                  <a:pt x="1760" y="128"/>
                                </a:lnTo>
                                <a:lnTo>
                                  <a:pt x="1824" y="144"/>
                                </a:lnTo>
                                <a:lnTo>
                                  <a:pt x="1784" y="136"/>
                                </a:lnTo>
                                <a:lnTo>
                                  <a:pt x="1800" y="144"/>
                                </a:lnTo>
                                <a:lnTo>
                                  <a:pt x="1816" y="144"/>
                                </a:lnTo>
                                <a:lnTo>
                                  <a:pt x="1848" y="144"/>
                                </a:lnTo>
                                <a:lnTo>
                                  <a:pt x="1984" y="168"/>
                                </a:lnTo>
                                <a:lnTo>
                                  <a:pt x="2064" y="176"/>
                                </a:lnTo>
                                <a:lnTo>
                                  <a:pt x="2088" y="184"/>
                                </a:lnTo>
                                <a:lnTo>
                                  <a:pt x="2104" y="200"/>
                                </a:lnTo>
                                <a:lnTo>
                                  <a:pt x="2112" y="200"/>
                                </a:lnTo>
                                <a:lnTo>
                                  <a:pt x="2080" y="200"/>
                                </a:lnTo>
                                <a:lnTo>
                                  <a:pt x="2048" y="192"/>
                                </a:lnTo>
                                <a:lnTo>
                                  <a:pt x="2168" y="216"/>
                                </a:lnTo>
                                <a:lnTo>
                                  <a:pt x="2296" y="240"/>
                                </a:lnTo>
                                <a:lnTo>
                                  <a:pt x="2248" y="224"/>
                                </a:lnTo>
                                <a:lnTo>
                                  <a:pt x="2208" y="216"/>
                                </a:lnTo>
                                <a:lnTo>
                                  <a:pt x="2240" y="208"/>
                                </a:lnTo>
                                <a:lnTo>
                                  <a:pt x="2272" y="216"/>
                                </a:lnTo>
                                <a:lnTo>
                                  <a:pt x="2336" y="240"/>
                                </a:lnTo>
                                <a:lnTo>
                                  <a:pt x="2432" y="264"/>
                                </a:lnTo>
                                <a:lnTo>
                                  <a:pt x="2536" y="280"/>
                                </a:lnTo>
                                <a:lnTo>
                                  <a:pt x="2504" y="272"/>
                                </a:lnTo>
                                <a:lnTo>
                                  <a:pt x="2552" y="280"/>
                                </a:lnTo>
                                <a:lnTo>
                                  <a:pt x="2552" y="272"/>
                                </a:lnTo>
                                <a:lnTo>
                                  <a:pt x="2544" y="272"/>
                                </a:lnTo>
                                <a:lnTo>
                                  <a:pt x="2472" y="264"/>
                                </a:lnTo>
                                <a:lnTo>
                                  <a:pt x="2432" y="248"/>
                                </a:lnTo>
                                <a:lnTo>
                                  <a:pt x="2392" y="240"/>
                                </a:lnTo>
                                <a:lnTo>
                                  <a:pt x="2400" y="240"/>
                                </a:lnTo>
                                <a:lnTo>
                                  <a:pt x="2456" y="240"/>
                                </a:lnTo>
                                <a:lnTo>
                                  <a:pt x="2544" y="272"/>
                                </a:lnTo>
                                <a:lnTo>
                                  <a:pt x="2552" y="272"/>
                                </a:lnTo>
                                <a:lnTo>
                                  <a:pt x="2608" y="296"/>
                                </a:lnTo>
                                <a:lnTo>
                                  <a:pt x="2632" y="312"/>
                                </a:lnTo>
                                <a:lnTo>
                                  <a:pt x="2632" y="304"/>
                                </a:lnTo>
                                <a:lnTo>
                                  <a:pt x="2664" y="312"/>
                                </a:lnTo>
                                <a:lnTo>
                                  <a:pt x="2656" y="312"/>
                                </a:lnTo>
                                <a:lnTo>
                                  <a:pt x="2656" y="304"/>
                                </a:lnTo>
                                <a:lnTo>
                                  <a:pt x="2720" y="320"/>
                                </a:lnTo>
                                <a:lnTo>
                                  <a:pt x="2784" y="320"/>
                                </a:lnTo>
                                <a:lnTo>
                                  <a:pt x="2864" y="360"/>
                                </a:lnTo>
                                <a:lnTo>
                                  <a:pt x="2904" y="368"/>
                                </a:lnTo>
                                <a:lnTo>
                                  <a:pt x="2952" y="376"/>
                                </a:lnTo>
                                <a:lnTo>
                                  <a:pt x="2944" y="368"/>
                                </a:lnTo>
                                <a:lnTo>
                                  <a:pt x="3136" y="416"/>
                                </a:lnTo>
                                <a:lnTo>
                                  <a:pt x="3136" y="408"/>
                                </a:lnTo>
                                <a:lnTo>
                                  <a:pt x="3248" y="440"/>
                                </a:lnTo>
                                <a:lnTo>
                                  <a:pt x="3240" y="432"/>
                                </a:lnTo>
                                <a:lnTo>
                                  <a:pt x="3224" y="432"/>
                                </a:lnTo>
                                <a:lnTo>
                                  <a:pt x="3248" y="432"/>
                                </a:lnTo>
                                <a:lnTo>
                                  <a:pt x="3272" y="440"/>
                                </a:lnTo>
                                <a:lnTo>
                                  <a:pt x="3264" y="440"/>
                                </a:lnTo>
                                <a:lnTo>
                                  <a:pt x="3384" y="472"/>
                                </a:lnTo>
                                <a:lnTo>
                                  <a:pt x="3352" y="464"/>
                                </a:lnTo>
                                <a:lnTo>
                                  <a:pt x="3392" y="464"/>
                                </a:lnTo>
                                <a:lnTo>
                                  <a:pt x="3432" y="480"/>
                                </a:lnTo>
                                <a:lnTo>
                                  <a:pt x="3416" y="464"/>
                                </a:lnTo>
                                <a:lnTo>
                                  <a:pt x="3400" y="464"/>
                                </a:lnTo>
                                <a:lnTo>
                                  <a:pt x="3464" y="472"/>
                                </a:lnTo>
                                <a:lnTo>
                                  <a:pt x="3528" y="488"/>
                                </a:lnTo>
                                <a:lnTo>
                                  <a:pt x="3648" y="520"/>
                                </a:lnTo>
                                <a:lnTo>
                                  <a:pt x="3640" y="520"/>
                                </a:lnTo>
                                <a:lnTo>
                                  <a:pt x="3640" y="528"/>
                                </a:lnTo>
                                <a:lnTo>
                                  <a:pt x="3704" y="536"/>
                                </a:lnTo>
                                <a:lnTo>
                                  <a:pt x="3688" y="544"/>
                                </a:lnTo>
                                <a:lnTo>
                                  <a:pt x="3720" y="552"/>
                                </a:lnTo>
                                <a:lnTo>
                                  <a:pt x="3760" y="552"/>
                                </a:lnTo>
                                <a:lnTo>
                                  <a:pt x="3720" y="536"/>
                                </a:lnTo>
                                <a:lnTo>
                                  <a:pt x="3680" y="520"/>
                                </a:lnTo>
                                <a:lnTo>
                                  <a:pt x="3672" y="520"/>
                                </a:lnTo>
                                <a:lnTo>
                                  <a:pt x="3696" y="520"/>
                                </a:lnTo>
                                <a:lnTo>
                                  <a:pt x="3736" y="528"/>
                                </a:lnTo>
                                <a:lnTo>
                                  <a:pt x="3792" y="552"/>
                                </a:lnTo>
                                <a:lnTo>
                                  <a:pt x="3768" y="544"/>
                                </a:lnTo>
                                <a:lnTo>
                                  <a:pt x="3816" y="560"/>
                                </a:lnTo>
                                <a:lnTo>
                                  <a:pt x="3776" y="552"/>
                                </a:lnTo>
                                <a:lnTo>
                                  <a:pt x="3808" y="560"/>
                                </a:lnTo>
                                <a:lnTo>
                                  <a:pt x="3840" y="560"/>
                                </a:lnTo>
                                <a:lnTo>
                                  <a:pt x="3880" y="560"/>
                                </a:lnTo>
                                <a:lnTo>
                                  <a:pt x="3920" y="568"/>
                                </a:lnTo>
                                <a:lnTo>
                                  <a:pt x="3984" y="600"/>
                                </a:lnTo>
                                <a:lnTo>
                                  <a:pt x="3992" y="592"/>
                                </a:lnTo>
                                <a:lnTo>
                                  <a:pt x="4000" y="592"/>
                                </a:lnTo>
                                <a:lnTo>
                                  <a:pt x="3936" y="568"/>
                                </a:lnTo>
                                <a:lnTo>
                                  <a:pt x="4000" y="584"/>
                                </a:lnTo>
                                <a:lnTo>
                                  <a:pt x="4048" y="600"/>
                                </a:lnTo>
                                <a:lnTo>
                                  <a:pt x="4152" y="624"/>
                                </a:lnTo>
                                <a:lnTo>
                                  <a:pt x="4248" y="648"/>
                                </a:lnTo>
                                <a:lnTo>
                                  <a:pt x="4256" y="648"/>
                                </a:lnTo>
                                <a:lnTo>
                                  <a:pt x="4256" y="640"/>
                                </a:lnTo>
                                <a:lnTo>
                                  <a:pt x="4232" y="640"/>
                                </a:lnTo>
                                <a:lnTo>
                                  <a:pt x="4232" y="632"/>
                                </a:lnTo>
                                <a:lnTo>
                                  <a:pt x="4288" y="648"/>
                                </a:lnTo>
                                <a:lnTo>
                                  <a:pt x="4336" y="648"/>
                                </a:lnTo>
                                <a:lnTo>
                                  <a:pt x="4360" y="656"/>
                                </a:lnTo>
                                <a:lnTo>
                                  <a:pt x="4392" y="664"/>
                                </a:lnTo>
                                <a:lnTo>
                                  <a:pt x="4384" y="664"/>
                                </a:lnTo>
                                <a:lnTo>
                                  <a:pt x="4384" y="656"/>
                                </a:lnTo>
                                <a:lnTo>
                                  <a:pt x="4504" y="688"/>
                                </a:lnTo>
                                <a:lnTo>
                                  <a:pt x="4632" y="704"/>
                                </a:lnTo>
                                <a:lnTo>
                                  <a:pt x="4624" y="696"/>
                                </a:lnTo>
                                <a:lnTo>
                                  <a:pt x="4536" y="680"/>
                                </a:lnTo>
                                <a:lnTo>
                                  <a:pt x="4576" y="680"/>
                                </a:lnTo>
                                <a:lnTo>
                                  <a:pt x="4624" y="688"/>
                                </a:lnTo>
                                <a:lnTo>
                                  <a:pt x="4680" y="696"/>
                                </a:lnTo>
                                <a:lnTo>
                                  <a:pt x="4728" y="704"/>
                                </a:lnTo>
                                <a:lnTo>
                                  <a:pt x="4720" y="696"/>
                                </a:lnTo>
                                <a:lnTo>
                                  <a:pt x="4752" y="688"/>
                                </a:lnTo>
                                <a:lnTo>
                                  <a:pt x="4776" y="696"/>
                                </a:lnTo>
                                <a:lnTo>
                                  <a:pt x="4808" y="696"/>
                                </a:lnTo>
                                <a:lnTo>
                                  <a:pt x="4840" y="696"/>
                                </a:lnTo>
                                <a:lnTo>
                                  <a:pt x="4848" y="688"/>
                                </a:lnTo>
                                <a:lnTo>
                                  <a:pt x="4864" y="680"/>
                                </a:lnTo>
                                <a:lnTo>
                                  <a:pt x="4672" y="688"/>
                                </a:lnTo>
                                <a:lnTo>
                                  <a:pt x="4528" y="664"/>
                                </a:lnTo>
                                <a:lnTo>
                                  <a:pt x="4392" y="648"/>
                                </a:lnTo>
                                <a:lnTo>
                                  <a:pt x="4384" y="648"/>
                                </a:lnTo>
                                <a:lnTo>
                                  <a:pt x="832" y="48"/>
                                </a:lnTo>
                                <a:lnTo>
                                  <a:pt x="872" y="48"/>
                                </a:lnTo>
                                <a:lnTo>
                                  <a:pt x="848" y="48"/>
                                </a:lnTo>
                                <a:lnTo>
                                  <a:pt x="832" y="48"/>
                                </a:lnTo>
                                <a:lnTo>
                                  <a:pt x="4384" y="648"/>
                                </a:lnTo>
                                <a:lnTo>
                                  <a:pt x="1520" y="64"/>
                                </a:lnTo>
                                <a:lnTo>
                                  <a:pt x="1552" y="72"/>
                                </a:lnTo>
                                <a:lnTo>
                                  <a:pt x="1536" y="72"/>
                                </a:lnTo>
                                <a:lnTo>
                                  <a:pt x="1520" y="64"/>
                                </a:lnTo>
                                <a:lnTo>
                                  <a:pt x="4384" y="648"/>
                                </a:lnTo>
                                <a:lnTo>
                                  <a:pt x="3832" y="536"/>
                                </a:lnTo>
                                <a:lnTo>
                                  <a:pt x="3856" y="544"/>
                                </a:lnTo>
                                <a:lnTo>
                                  <a:pt x="3840" y="544"/>
                                </a:lnTo>
                                <a:lnTo>
                                  <a:pt x="3832" y="536"/>
                                </a:lnTo>
                                <a:lnTo>
                                  <a:pt x="4384" y="648"/>
                                </a:lnTo>
                                <a:lnTo>
                                  <a:pt x="3888" y="552"/>
                                </a:lnTo>
                                <a:lnTo>
                                  <a:pt x="3888" y="544"/>
                                </a:lnTo>
                                <a:lnTo>
                                  <a:pt x="3912" y="560"/>
                                </a:lnTo>
                                <a:lnTo>
                                  <a:pt x="3888" y="552"/>
                                </a:lnTo>
                                <a:lnTo>
                                  <a:pt x="4384" y="648"/>
                                </a:lnTo>
                                <a:lnTo>
                                  <a:pt x="3400" y="480"/>
                                </a:lnTo>
                                <a:lnTo>
                                  <a:pt x="3408" y="480"/>
                                </a:lnTo>
                                <a:lnTo>
                                  <a:pt x="3392" y="472"/>
                                </a:lnTo>
                                <a:lnTo>
                                  <a:pt x="3400" y="480"/>
                                </a:lnTo>
                                <a:lnTo>
                                  <a:pt x="4384" y="648"/>
                                </a:lnTo>
                                <a:lnTo>
                                  <a:pt x="3440" y="488"/>
                                </a:lnTo>
                                <a:lnTo>
                                  <a:pt x="3456" y="488"/>
                                </a:lnTo>
                                <a:lnTo>
                                  <a:pt x="3440" y="480"/>
                                </a:lnTo>
                                <a:lnTo>
                                  <a:pt x="3440" y="488"/>
                                </a:lnTo>
                                <a:lnTo>
                                  <a:pt x="4384" y="648"/>
                                </a:lnTo>
                                <a:lnTo>
                                  <a:pt x="3552" y="504"/>
                                </a:lnTo>
                                <a:lnTo>
                                  <a:pt x="3576" y="504"/>
                                </a:lnTo>
                                <a:lnTo>
                                  <a:pt x="3552" y="496"/>
                                </a:lnTo>
                                <a:lnTo>
                                  <a:pt x="3552" y="504"/>
                                </a:lnTo>
                                <a:lnTo>
                                  <a:pt x="4384" y="648"/>
                                </a:lnTo>
                                <a:lnTo>
                                  <a:pt x="4048" y="608"/>
                                </a:lnTo>
                                <a:lnTo>
                                  <a:pt x="4040" y="600"/>
                                </a:lnTo>
                                <a:lnTo>
                                  <a:pt x="4024" y="600"/>
                                </a:lnTo>
                                <a:lnTo>
                                  <a:pt x="4032" y="608"/>
                                </a:lnTo>
                                <a:lnTo>
                                  <a:pt x="4048" y="608"/>
                                </a:lnTo>
                                <a:lnTo>
                                  <a:pt x="4384" y="648"/>
                                </a:lnTo>
                                <a:lnTo>
                                  <a:pt x="5088" y="624"/>
                                </a:lnTo>
                                <a:lnTo>
                                  <a:pt x="4992" y="664"/>
                                </a:lnTo>
                                <a:lnTo>
                                  <a:pt x="5048" y="648"/>
                                </a:lnTo>
                                <a:lnTo>
                                  <a:pt x="5096" y="624"/>
                                </a:lnTo>
                                <a:lnTo>
                                  <a:pt x="5088" y="624"/>
                                </a:lnTo>
                                <a:lnTo>
                                  <a:pt x="4384" y="648"/>
                                </a:lnTo>
                                <a:lnTo>
                                  <a:pt x="4968" y="664"/>
                                </a:lnTo>
                                <a:lnTo>
                                  <a:pt x="4984" y="664"/>
                                </a:lnTo>
                                <a:lnTo>
                                  <a:pt x="4984" y="656"/>
                                </a:lnTo>
                                <a:lnTo>
                                  <a:pt x="4976" y="656"/>
                                </a:lnTo>
                                <a:lnTo>
                                  <a:pt x="4968" y="664"/>
                                </a:lnTo>
                                <a:lnTo>
                                  <a:pt x="4384" y="648"/>
                                </a:lnTo>
                                <a:lnTo>
                                  <a:pt x="4880" y="688"/>
                                </a:lnTo>
                                <a:lnTo>
                                  <a:pt x="4904" y="688"/>
                                </a:lnTo>
                                <a:lnTo>
                                  <a:pt x="4912" y="680"/>
                                </a:lnTo>
                                <a:lnTo>
                                  <a:pt x="4904" y="680"/>
                                </a:lnTo>
                                <a:lnTo>
                                  <a:pt x="4880" y="688"/>
                                </a:lnTo>
                                <a:lnTo>
                                  <a:pt x="4384" y="648"/>
                                </a:lnTo>
                                <a:lnTo>
                                  <a:pt x="4800" y="704"/>
                                </a:lnTo>
                                <a:lnTo>
                                  <a:pt x="4800" y="696"/>
                                </a:lnTo>
                                <a:lnTo>
                                  <a:pt x="4792" y="696"/>
                                </a:lnTo>
                                <a:lnTo>
                                  <a:pt x="4800" y="704"/>
                                </a:lnTo>
                                <a:lnTo>
                                  <a:pt x="4384" y="648"/>
                                </a:lnTo>
                                <a:close/>
                              </a:path>
                            </a:pathLst>
                          </a:custGeom>
                          <a:solidFill>
                            <a:srgbClr val="0A50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41"/>
                        <wps:cNvSpPr>
                          <a:spLocks/>
                        </wps:cNvSpPr>
                        <wps:spPr bwMode="auto">
                          <a:xfrm>
                            <a:off x="4858547" y="974659"/>
                            <a:ext cx="2702728" cy="445900"/>
                          </a:xfrm>
                          <a:custGeom>
                            <a:avLst/>
                            <a:gdLst>
                              <a:gd name="T0" fmla="*/ 2616471 w 1504"/>
                              <a:gd name="T1" fmla="*/ 15115 h 472"/>
                              <a:gd name="T2" fmla="*/ 2515837 w 1504"/>
                              <a:gd name="T3" fmla="*/ 22673 h 472"/>
                              <a:gd name="T4" fmla="*/ 2372075 w 1504"/>
                              <a:gd name="T5" fmla="*/ 60461 h 472"/>
                              <a:gd name="T6" fmla="*/ 2271442 w 1504"/>
                              <a:gd name="T7" fmla="*/ 60461 h 472"/>
                              <a:gd name="T8" fmla="*/ 1998294 w 1504"/>
                              <a:gd name="T9" fmla="*/ 90692 h 472"/>
                              <a:gd name="T10" fmla="*/ 1940789 w 1504"/>
                              <a:gd name="T11" fmla="*/ 98249 h 472"/>
                              <a:gd name="T12" fmla="*/ 1797027 w 1504"/>
                              <a:gd name="T13" fmla="*/ 128480 h 472"/>
                              <a:gd name="T14" fmla="*/ 1667641 w 1504"/>
                              <a:gd name="T15" fmla="*/ 158710 h 472"/>
                              <a:gd name="T16" fmla="*/ 1509502 w 1504"/>
                              <a:gd name="T17" fmla="*/ 166268 h 472"/>
                              <a:gd name="T18" fmla="*/ 1466374 w 1504"/>
                              <a:gd name="T19" fmla="*/ 196498 h 472"/>
                              <a:gd name="T20" fmla="*/ 1336988 w 1504"/>
                              <a:gd name="T21" fmla="*/ 219171 h 472"/>
                              <a:gd name="T22" fmla="*/ 1437621 w 1504"/>
                              <a:gd name="T23" fmla="*/ 226729 h 472"/>
                              <a:gd name="T24" fmla="*/ 1279483 w 1504"/>
                              <a:gd name="T25" fmla="*/ 211614 h 472"/>
                              <a:gd name="T26" fmla="*/ 1150097 w 1504"/>
                              <a:gd name="T27" fmla="*/ 241844 h 472"/>
                              <a:gd name="T28" fmla="*/ 1035087 w 1504"/>
                              <a:gd name="T29" fmla="*/ 272075 h 472"/>
                              <a:gd name="T30" fmla="*/ 963206 w 1504"/>
                              <a:gd name="T31" fmla="*/ 287190 h 472"/>
                              <a:gd name="T32" fmla="*/ 905701 w 1504"/>
                              <a:gd name="T33" fmla="*/ 317420 h 472"/>
                              <a:gd name="T34" fmla="*/ 718811 w 1504"/>
                              <a:gd name="T35" fmla="*/ 332536 h 472"/>
                              <a:gd name="T36" fmla="*/ 661306 w 1504"/>
                              <a:gd name="T37" fmla="*/ 355208 h 472"/>
                              <a:gd name="T38" fmla="*/ 618177 w 1504"/>
                              <a:gd name="T39" fmla="*/ 377881 h 472"/>
                              <a:gd name="T40" fmla="*/ 474415 w 1504"/>
                              <a:gd name="T41" fmla="*/ 385439 h 472"/>
                              <a:gd name="T42" fmla="*/ 330653 w 1504"/>
                              <a:gd name="T43" fmla="*/ 415669 h 472"/>
                              <a:gd name="T44" fmla="*/ 258772 w 1504"/>
                              <a:gd name="T45" fmla="*/ 423227 h 472"/>
                              <a:gd name="T46" fmla="*/ 143762 w 1504"/>
                              <a:gd name="T47" fmla="*/ 423227 h 472"/>
                              <a:gd name="T48" fmla="*/ 230019 w 1504"/>
                              <a:gd name="T49" fmla="*/ 438342 h 472"/>
                              <a:gd name="T50" fmla="*/ 445663 w 1504"/>
                              <a:gd name="T51" fmla="*/ 430785 h 472"/>
                              <a:gd name="T52" fmla="*/ 531920 w 1504"/>
                              <a:gd name="T53" fmla="*/ 415669 h 472"/>
                              <a:gd name="T54" fmla="*/ 977582 w 1504"/>
                              <a:gd name="T55" fmla="*/ 355208 h 472"/>
                              <a:gd name="T56" fmla="*/ 1322612 w 1504"/>
                              <a:gd name="T57" fmla="*/ 287190 h 472"/>
                              <a:gd name="T58" fmla="*/ 1480750 w 1504"/>
                              <a:gd name="T59" fmla="*/ 249402 h 472"/>
                              <a:gd name="T60" fmla="*/ 1567007 w 1504"/>
                              <a:gd name="T61" fmla="*/ 249402 h 472"/>
                              <a:gd name="T62" fmla="*/ 1768274 w 1504"/>
                              <a:gd name="T63" fmla="*/ 196498 h 472"/>
                              <a:gd name="T64" fmla="*/ 1854531 w 1504"/>
                              <a:gd name="T65" fmla="*/ 181383 h 472"/>
                              <a:gd name="T66" fmla="*/ 2170808 w 1504"/>
                              <a:gd name="T67" fmla="*/ 136037 h 472"/>
                              <a:gd name="T68" fmla="*/ 2487085 w 1504"/>
                              <a:gd name="T69" fmla="*/ 90692 h 472"/>
                              <a:gd name="T70" fmla="*/ 2544590 w 1504"/>
                              <a:gd name="T71" fmla="*/ 83134 h 472"/>
                              <a:gd name="T72" fmla="*/ 2630847 w 1504"/>
                              <a:gd name="T73" fmla="*/ 60461 h 472"/>
                              <a:gd name="T74" fmla="*/ 2673976 w 1504"/>
                              <a:gd name="T75" fmla="*/ 30231 h 472"/>
                              <a:gd name="T76" fmla="*/ 646930 w 1504"/>
                              <a:gd name="T77" fmla="*/ 377881 h 472"/>
                              <a:gd name="T78" fmla="*/ 2702728 w 1504"/>
                              <a:gd name="T79" fmla="*/ 22673 h 472"/>
                              <a:gd name="T80" fmla="*/ 1078216 w 1504"/>
                              <a:gd name="T81" fmla="*/ 317420 h 472"/>
                              <a:gd name="T82" fmla="*/ 1897660 w 1504"/>
                              <a:gd name="T83" fmla="*/ 173825 h 472"/>
                              <a:gd name="T84" fmla="*/ 1912036 w 1504"/>
                              <a:gd name="T85" fmla="*/ 158710 h 472"/>
                              <a:gd name="T86" fmla="*/ 2070175 w 1504"/>
                              <a:gd name="T87" fmla="*/ 98249 h 472"/>
                              <a:gd name="T88" fmla="*/ 2213937 w 1504"/>
                              <a:gd name="T89" fmla="*/ 75576 h 472"/>
                              <a:gd name="T90" fmla="*/ 2443956 w 1504"/>
                              <a:gd name="T91" fmla="*/ 37788 h 472"/>
                              <a:gd name="T92" fmla="*/ 2501461 w 1504"/>
                              <a:gd name="T93" fmla="*/ 30231 h 472"/>
                              <a:gd name="T94" fmla="*/ 1739522 w 1504"/>
                              <a:gd name="T95" fmla="*/ 143595 h 472"/>
                              <a:gd name="T96" fmla="*/ 805068 w 1504"/>
                              <a:gd name="T97" fmla="*/ 317420 h 472"/>
                              <a:gd name="T98" fmla="*/ 2702728 w 1504"/>
                              <a:gd name="T99" fmla="*/ 22673 h 472"/>
                              <a:gd name="T100" fmla="*/ 704434 w 1504"/>
                              <a:gd name="T101" fmla="*/ 347651 h 472"/>
                              <a:gd name="T102" fmla="*/ 2702728 w 1504"/>
                              <a:gd name="T103" fmla="*/ 22673 h 472"/>
                              <a:gd name="T104" fmla="*/ 2702728 w 1504"/>
                              <a:gd name="T105" fmla="*/ 22673 h 472"/>
                              <a:gd name="T106" fmla="*/ 172515 w 1504"/>
                              <a:gd name="T107" fmla="*/ 415669 h 472"/>
                              <a:gd name="T108" fmla="*/ 115010 w 1504"/>
                              <a:gd name="T109" fmla="*/ 430785 h 472"/>
                              <a:gd name="T110" fmla="*/ 14376 w 1504"/>
                              <a:gd name="T111" fmla="*/ 423227 h 472"/>
                              <a:gd name="T112" fmla="*/ 71881 w 1504"/>
                              <a:gd name="T113" fmla="*/ 438342 h 47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504" h="472">
                                <a:moveTo>
                                  <a:pt x="1504" y="24"/>
                                </a:moveTo>
                                <a:lnTo>
                                  <a:pt x="1504" y="16"/>
                                </a:lnTo>
                                <a:lnTo>
                                  <a:pt x="1456" y="0"/>
                                </a:lnTo>
                                <a:lnTo>
                                  <a:pt x="1464" y="8"/>
                                </a:lnTo>
                                <a:lnTo>
                                  <a:pt x="1448" y="8"/>
                                </a:lnTo>
                                <a:lnTo>
                                  <a:pt x="1456" y="16"/>
                                </a:lnTo>
                                <a:lnTo>
                                  <a:pt x="1448" y="16"/>
                                </a:lnTo>
                                <a:lnTo>
                                  <a:pt x="1432" y="8"/>
                                </a:lnTo>
                                <a:lnTo>
                                  <a:pt x="1432" y="16"/>
                                </a:lnTo>
                                <a:lnTo>
                                  <a:pt x="1432" y="24"/>
                                </a:lnTo>
                                <a:lnTo>
                                  <a:pt x="1400" y="16"/>
                                </a:lnTo>
                                <a:lnTo>
                                  <a:pt x="1400" y="24"/>
                                </a:lnTo>
                                <a:lnTo>
                                  <a:pt x="1384" y="32"/>
                                </a:lnTo>
                                <a:lnTo>
                                  <a:pt x="1360" y="40"/>
                                </a:lnTo>
                                <a:lnTo>
                                  <a:pt x="1312" y="40"/>
                                </a:lnTo>
                                <a:lnTo>
                                  <a:pt x="1312" y="48"/>
                                </a:lnTo>
                                <a:lnTo>
                                  <a:pt x="1320" y="56"/>
                                </a:lnTo>
                                <a:lnTo>
                                  <a:pt x="1320" y="64"/>
                                </a:lnTo>
                                <a:lnTo>
                                  <a:pt x="1296" y="48"/>
                                </a:lnTo>
                                <a:lnTo>
                                  <a:pt x="1296" y="56"/>
                                </a:lnTo>
                                <a:lnTo>
                                  <a:pt x="1280" y="64"/>
                                </a:lnTo>
                                <a:lnTo>
                                  <a:pt x="1264" y="72"/>
                                </a:lnTo>
                                <a:lnTo>
                                  <a:pt x="1256" y="72"/>
                                </a:lnTo>
                                <a:lnTo>
                                  <a:pt x="1264" y="64"/>
                                </a:lnTo>
                                <a:lnTo>
                                  <a:pt x="1208" y="64"/>
                                </a:lnTo>
                                <a:lnTo>
                                  <a:pt x="1208" y="72"/>
                                </a:lnTo>
                                <a:lnTo>
                                  <a:pt x="1192" y="64"/>
                                </a:lnTo>
                                <a:lnTo>
                                  <a:pt x="1168" y="72"/>
                                </a:lnTo>
                                <a:lnTo>
                                  <a:pt x="1144" y="96"/>
                                </a:lnTo>
                                <a:lnTo>
                                  <a:pt x="1112" y="96"/>
                                </a:lnTo>
                                <a:lnTo>
                                  <a:pt x="1104" y="104"/>
                                </a:lnTo>
                                <a:lnTo>
                                  <a:pt x="1112" y="112"/>
                                </a:lnTo>
                                <a:lnTo>
                                  <a:pt x="1088" y="112"/>
                                </a:lnTo>
                                <a:lnTo>
                                  <a:pt x="1096" y="96"/>
                                </a:lnTo>
                                <a:lnTo>
                                  <a:pt x="1088" y="96"/>
                                </a:lnTo>
                                <a:lnTo>
                                  <a:pt x="1080" y="104"/>
                                </a:lnTo>
                                <a:lnTo>
                                  <a:pt x="1096" y="104"/>
                                </a:lnTo>
                                <a:lnTo>
                                  <a:pt x="1080" y="104"/>
                                </a:lnTo>
                                <a:lnTo>
                                  <a:pt x="1064" y="112"/>
                                </a:lnTo>
                                <a:lnTo>
                                  <a:pt x="1064" y="104"/>
                                </a:lnTo>
                                <a:lnTo>
                                  <a:pt x="1032" y="128"/>
                                </a:lnTo>
                                <a:lnTo>
                                  <a:pt x="1000" y="136"/>
                                </a:lnTo>
                                <a:lnTo>
                                  <a:pt x="1000" y="152"/>
                                </a:lnTo>
                                <a:lnTo>
                                  <a:pt x="976" y="160"/>
                                </a:lnTo>
                                <a:lnTo>
                                  <a:pt x="952" y="160"/>
                                </a:lnTo>
                                <a:lnTo>
                                  <a:pt x="928" y="160"/>
                                </a:lnTo>
                                <a:lnTo>
                                  <a:pt x="920" y="160"/>
                                </a:lnTo>
                                <a:lnTo>
                                  <a:pt x="928" y="168"/>
                                </a:lnTo>
                                <a:lnTo>
                                  <a:pt x="872" y="184"/>
                                </a:lnTo>
                                <a:lnTo>
                                  <a:pt x="864" y="168"/>
                                </a:lnTo>
                                <a:lnTo>
                                  <a:pt x="880" y="168"/>
                                </a:lnTo>
                                <a:lnTo>
                                  <a:pt x="888" y="160"/>
                                </a:lnTo>
                                <a:lnTo>
                                  <a:pt x="880" y="160"/>
                                </a:lnTo>
                                <a:lnTo>
                                  <a:pt x="840" y="176"/>
                                </a:lnTo>
                                <a:lnTo>
                                  <a:pt x="816" y="184"/>
                                </a:lnTo>
                                <a:lnTo>
                                  <a:pt x="808" y="192"/>
                                </a:lnTo>
                                <a:lnTo>
                                  <a:pt x="824" y="192"/>
                                </a:lnTo>
                                <a:lnTo>
                                  <a:pt x="840" y="192"/>
                                </a:lnTo>
                                <a:lnTo>
                                  <a:pt x="832" y="208"/>
                                </a:lnTo>
                                <a:lnTo>
                                  <a:pt x="816" y="208"/>
                                </a:lnTo>
                                <a:lnTo>
                                  <a:pt x="800" y="200"/>
                                </a:lnTo>
                                <a:lnTo>
                                  <a:pt x="768" y="208"/>
                                </a:lnTo>
                                <a:lnTo>
                                  <a:pt x="744" y="216"/>
                                </a:lnTo>
                                <a:lnTo>
                                  <a:pt x="744" y="224"/>
                                </a:lnTo>
                                <a:lnTo>
                                  <a:pt x="760" y="224"/>
                                </a:lnTo>
                                <a:lnTo>
                                  <a:pt x="744" y="232"/>
                                </a:lnTo>
                                <a:lnTo>
                                  <a:pt x="744" y="240"/>
                                </a:lnTo>
                                <a:lnTo>
                                  <a:pt x="760" y="240"/>
                                </a:lnTo>
                                <a:lnTo>
                                  <a:pt x="760" y="224"/>
                                </a:lnTo>
                                <a:lnTo>
                                  <a:pt x="776" y="224"/>
                                </a:lnTo>
                                <a:lnTo>
                                  <a:pt x="792" y="224"/>
                                </a:lnTo>
                                <a:lnTo>
                                  <a:pt x="800" y="240"/>
                                </a:lnTo>
                                <a:lnTo>
                                  <a:pt x="768" y="240"/>
                                </a:lnTo>
                                <a:lnTo>
                                  <a:pt x="744" y="248"/>
                                </a:lnTo>
                                <a:lnTo>
                                  <a:pt x="736" y="240"/>
                                </a:lnTo>
                                <a:lnTo>
                                  <a:pt x="720" y="240"/>
                                </a:lnTo>
                                <a:lnTo>
                                  <a:pt x="728" y="232"/>
                                </a:lnTo>
                                <a:lnTo>
                                  <a:pt x="712" y="224"/>
                                </a:lnTo>
                                <a:lnTo>
                                  <a:pt x="720" y="232"/>
                                </a:lnTo>
                                <a:lnTo>
                                  <a:pt x="704" y="232"/>
                                </a:lnTo>
                                <a:lnTo>
                                  <a:pt x="712" y="240"/>
                                </a:lnTo>
                                <a:lnTo>
                                  <a:pt x="696" y="248"/>
                                </a:lnTo>
                                <a:lnTo>
                                  <a:pt x="688" y="264"/>
                                </a:lnTo>
                                <a:lnTo>
                                  <a:pt x="640" y="256"/>
                                </a:lnTo>
                                <a:lnTo>
                                  <a:pt x="632" y="256"/>
                                </a:lnTo>
                                <a:lnTo>
                                  <a:pt x="624" y="264"/>
                                </a:lnTo>
                                <a:lnTo>
                                  <a:pt x="624" y="280"/>
                                </a:lnTo>
                                <a:lnTo>
                                  <a:pt x="600" y="280"/>
                                </a:lnTo>
                                <a:lnTo>
                                  <a:pt x="592" y="288"/>
                                </a:lnTo>
                                <a:lnTo>
                                  <a:pt x="576" y="288"/>
                                </a:lnTo>
                                <a:lnTo>
                                  <a:pt x="576" y="296"/>
                                </a:lnTo>
                                <a:lnTo>
                                  <a:pt x="536" y="304"/>
                                </a:lnTo>
                                <a:lnTo>
                                  <a:pt x="552" y="304"/>
                                </a:lnTo>
                                <a:lnTo>
                                  <a:pt x="544" y="312"/>
                                </a:lnTo>
                                <a:lnTo>
                                  <a:pt x="536" y="312"/>
                                </a:lnTo>
                                <a:lnTo>
                                  <a:pt x="536" y="304"/>
                                </a:lnTo>
                                <a:lnTo>
                                  <a:pt x="528" y="312"/>
                                </a:lnTo>
                                <a:lnTo>
                                  <a:pt x="496" y="312"/>
                                </a:lnTo>
                                <a:lnTo>
                                  <a:pt x="504" y="320"/>
                                </a:lnTo>
                                <a:lnTo>
                                  <a:pt x="512" y="320"/>
                                </a:lnTo>
                                <a:lnTo>
                                  <a:pt x="488" y="328"/>
                                </a:lnTo>
                                <a:lnTo>
                                  <a:pt x="504" y="336"/>
                                </a:lnTo>
                                <a:lnTo>
                                  <a:pt x="488" y="344"/>
                                </a:lnTo>
                                <a:lnTo>
                                  <a:pt x="472" y="352"/>
                                </a:lnTo>
                                <a:lnTo>
                                  <a:pt x="424" y="360"/>
                                </a:lnTo>
                                <a:lnTo>
                                  <a:pt x="432" y="352"/>
                                </a:lnTo>
                                <a:lnTo>
                                  <a:pt x="432" y="344"/>
                                </a:lnTo>
                                <a:lnTo>
                                  <a:pt x="400" y="352"/>
                                </a:lnTo>
                                <a:lnTo>
                                  <a:pt x="376" y="360"/>
                                </a:lnTo>
                                <a:lnTo>
                                  <a:pt x="424" y="360"/>
                                </a:lnTo>
                                <a:lnTo>
                                  <a:pt x="424" y="368"/>
                                </a:lnTo>
                                <a:lnTo>
                                  <a:pt x="416" y="376"/>
                                </a:lnTo>
                                <a:lnTo>
                                  <a:pt x="384" y="376"/>
                                </a:lnTo>
                                <a:lnTo>
                                  <a:pt x="368" y="376"/>
                                </a:lnTo>
                                <a:lnTo>
                                  <a:pt x="352" y="392"/>
                                </a:lnTo>
                                <a:lnTo>
                                  <a:pt x="336" y="376"/>
                                </a:lnTo>
                                <a:lnTo>
                                  <a:pt x="328" y="376"/>
                                </a:lnTo>
                                <a:lnTo>
                                  <a:pt x="328" y="384"/>
                                </a:lnTo>
                                <a:lnTo>
                                  <a:pt x="328" y="392"/>
                                </a:lnTo>
                                <a:lnTo>
                                  <a:pt x="344" y="400"/>
                                </a:lnTo>
                                <a:lnTo>
                                  <a:pt x="352" y="400"/>
                                </a:lnTo>
                                <a:lnTo>
                                  <a:pt x="336" y="400"/>
                                </a:lnTo>
                                <a:lnTo>
                                  <a:pt x="304" y="400"/>
                                </a:lnTo>
                                <a:lnTo>
                                  <a:pt x="248" y="400"/>
                                </a:lnTo>
                                <a:lnTo>
                                  <a:pt x="256" y="408"/>
                                </a:lnTo>
                                <a:lnTo>
                                  <a:pt x="264" y="408"/>
                                </a:lnTo>
                                <a:lnTo>
                                  <a:pt x="240" y="416"/>
                                </a:lnTo>
                                <a:lnTo>
                                  <a:pt x="240" y="424"/>
                                </a:lnTo>
                                <a:lnTo>
                                  <a:pt x="216" y="424"/>
                                </a:lnTo>
                                <a:lnTo>
                                  <a:pt x="208" y="424"/>
                                </a:lnTo>
                                <a:lnTo>
                                  <a:pt x="216" y="432"/>
                                </a:lnTo>
                                <a:lnTo>
                                  <a:pt x="184" y="440"/>
                                </a:lnTo>
                                <a:lnTo>
                                  <a:pt x="144" y="432"/>
                                </a:lnTo>
                                <a:lnTo>
                                  <a:pt x="144" y="440"/>
                                </a:lnTo>
                                <a:lnTo>
                                  <a:pt x="168" y="448"/>
                                </a:lnTo>
                                <a:lnTo>
                                  <a:pt x="176" y="448"/>
                                </a:lnTo>
                                <a:lnTo>
                                  <a:pt x="168" y="456"/>
                                </a:lnTo>
                                <a:lnTo>
                                  <a:pt x="144" y="448"/>
                                </a:lnTo>
                                <a:lnTo>
                                  <a:pt x="112" y="440"/>
                                </a:lnTo>
                                <a:lnTo>
                                  <a:pt x="112" y="448"/>
                                </a:lnTo>
                                <a:lnTo>
                                  <a:pt x="104" y="456"/>
                                </a:lnTo>
                                <a:lnTo>
                                  <a:pt x="96" y="456"/>
                                </a:lnTo>
                                <a:lnTo>
                                  <a:pt x="104" y="448"/>
                                </a:lnTo>
                                <a:lnTo>
                                  <a:pt x="80" y="448"/>
                                </a:lnTo>
                                <a:lnTo>
                                  <a:pt x="80" y="456"/>
                                </a:lnTo>
                                <a:lnTo>
                                  <a:pt x="72" y="456"/>
                                </a:lnTo>
                                <a:lnTo>
                                  <a:pt x="80" y="464"/>
                                </a:lnTo>
                                <a:lnTo>
                                  <a:pt x="104" y="472"/>
                                </a:lnTo>
                                <a:lnTo>
                                  <a:pt x="104" y="464"/>
                                </a:lnTo>
                                <a:lnTo>
                                  <a:pt x="128" y="464"/>
                                </a:lnTo>
                                <a:lnTo>
                                  <a:pt x="144" y="472"/>
                                </a:lnTo>
                                <a:lnTo>
                                  <a:pt x="192" y="456"/>
                                </a:lnTo>
                                <a:lnTo>
                                  <a:pt x="216" y="448"/>
                                </a:lnTo>
                                <a:lnTo>
                                  <a:pt x="232" y="456"/>
                                </a:lnTo>
                                <a:lnTo>
                                  <a:pt x="240" y="448"/>
                                </a:lnTo>
                                <a:lnTo>
                                  <a:pt x="248" y="456"/>
                                </a:lnTo>
                                <a:lnTo>
                                  <a:pt x="256" y="448"/>
                                </a:lnTo>
                                <a:lnTo>
                                  <a:pt x="264" y="440"/>
                                </a:lnTo>
                                <a:lnTo>
                                  <a:pt x="248" y="440"/>
                                </a:lnTo>
                                <a:lnTo>
                                  <a:pt x="264" y="432"/>
                                </a:lnTo>
                                <a:lnTo>
                                  <a:pt x="280" y="440"/>
                                </a:lnTo>
                                <a:lnTo>
                                  <a:pt x="296" y="440"/>
                                </a:lnTo>
                                <a:lnTo>
                                  <a:pt x="376" y="424"/>
                                </a:lnTo>
                                <a:lnTo>
                                  <a:pt x="448" y="400"/>
                                </a:lnTo>
                                <a:lnTo>
                                  <a:pt x="480" y="384"/>
                                </a:lnTo>
                                <a:lnTo>
                                  <a:pt x="520" y="384"/>
                                </a:lnTo>
                                <a:lnTo>
                                  <a:pt x="520" y="376"/>
                                </a:lnTo>
                                <a:lnTo>
                                  <a:pt x="544" y="376"/>
                                </a:lnTo>
                                <a:lnTo>
                                  <a:pt x="568" y="360"/>
                                </a:lnTo>
                                <a:lnTo>
                                  <a:pt x="584" y="352"/>
                                </a:lnTo>
                                <a:lnTo>
                                  <a:pt x="632" y="344"/>
                                </a:lnTo>
                                <a:lnTo>
                                  <a:pt x="624" y="336"/>
                                </a:lnTo>
                                <a:lnTo>
                                  <a:pt x="680" y="312"/>
                                </a:lnTo>
                                <a:lnTo>
                                  <a:pt x="736" y="304"/>
                                </a:lnTo>
                                <a:lnTo>
                                  <a:pt x="736" y="296"/>
                                </a:lnTo>
                                <a:lnTo>
                                  <a:pt x="784" y="288"/>
                                </a:lnTo>
                                <a:lnTo>
                                  <a:pt x="832" y="280"/>
                                </a:lnTo>
                                <a:lnTo>
                                  <a:pt x="816" y="280"/>
                                </a:lnTo>
                                <a:lnTo>
                                  <a:pt x="824" y="272"/>
                                </a:lnTo>
                                <a:lnTo>
                                  <a:pt x="824" y="264"/>
                                </a:lnTo>
                                <a:lnTo>
                                  <a:pt x="824" y="272"/>
                                </a:lnTo>
                                <a:lnTo>
                                  <a:pt x="824" y="264"/>
                                </a:lnTo>
                                <a:lnTo>
                                  <a:pt x="872" y="264"/>
                                </a:lnTo>
                                <a:lnTo>
                                  <a:pt x="864" y="256"/>
                                </a:lnTo>
                                <a:lnTo>
                                  <a:pt x="872" y="256"/>
                                </a:lnTo>
                                <a:lnTo>
                                  <a:pt x="872" y="264"/>
                                </a:lnTo>
                                <a:lnTo>
                                  <a:pt x="888" y="256"/>
                                </a:lnTo>
                                <a:lnTo>
                                  <a:pt x="880" y="248"/>
                                </a:lnTo>
                                <a:lnTo>
                                  <a:pt x="896" y="248"/>
                                </a:lnTo>
                                <a:lnTo>
                                  <a:pt x="920" y="248"/>
                                </a:lnTo>
                                <a:lnTo>
                                  <a:pt x="952" y="224"/>
                                </a:lnTo>
                                <a:lnTo>
                                  <a:pt x="984" y="208"/>
                                </a:lnTo>
                                <a:lnTo>
                                  <a:pt x="952" y="224"/>
                                </a:lnTo>
                                <a:lnTo>
                                  <a:pt x="952" y="232"/>
                                </a:lnTo>
                                <a:lnTo>
                                  <a:pt x="1008" y="216"/>
                                </a:lnTo>
                                <a:lnTo>
                                  <a:pt x="1008" y="208"/>
                                </a:lnTo>
                                <a:lnTo>
                                  <a:pt x="1024" y="208"/>
                                </a:lnTo>
                                <a:lnTo>
                                  <a:pt x="1032" y="192"/>
                                </a:lnTo>
                                <a:lnTo>
                                  <a:pt x="1064" y="184"/>
                                </a:lnTo>
                                <a:lnTo>
                                  <a:pt x="1088" y="176"/>
                                </a:lnTo>
                                <a:lnTo>
                                  <a:pt x="1152" y="168"/>
                                </a:lnTo>
                                <a:lnTo>
                                  <a:pt x="1176" y="160"/>
                                </a:lnTo>
                                <a:lnTo>
                                  <a:pt x="1216" y="152"/>
                                </a:lnTo>
                                <a:lnTo>
                                  <a:pt x="1208" y="144"/>
                                </a:lnTo>
                                <a:lnTo>
                                  <a:pt x="1248" y="136"/>
                                </a:lnTo>
                                <a:lnTo>
                                  <a:pt x="1280" y="120"/>
                                </a:lnTo>
                                <a:lnTo>
                                  <a:pt x="1320" y="120"/>
                                </a:lnTo>
                                <a:lnTo>
                                  <a:pt x="1352" y="104"/>
                                </a:lnTo>
                                <a:lnTo>
                                  <a:pt x="1392" y="104"/>
                                </a:lnTo>
                                <a:lnTo>
                                  <a:pt x="1384" y="96"/>
                                </a:lnTo>
                                <a:lnTo>
                                  <a:pt x="1400" y="96"/>
                                </a:lnTo>
                                <a:lnTo>
                                  <a:pt x="1392" y="88"/>
                                </a:lnTo>
                                <a:lnTo>
                                  <a:pt x="1392" y="80"/>
                                </a:lnTo>
                                <a:lnTo>
                                  <a:pt x="1400" y="88"/>
                                </a:lnTo>
                                <a:lnTo>
                                  <a:pt x="1416" y="80"/>
                                </a:lnTo>
                                <a:lnTo>
                                  <a:pt x="1416" y="88"/>
                                </a:lnTo>
                                <a:lnTo>
                                  <a:pt x="1408" y="96"/>
                                </a:lnTo>
                                <a:lnTo>
                                  <a:pt x="1424" y="96"/>
                                </a:lnTo>
                                <a:lnTo>
                                  <a:pt x="1432" y="88"/>
                                </a:lnTo>
                                <a:lnTo>
                                  <a:pt x="1448" y="80"/>
                                </a:lnTo>
                                <a:lnTo>
                                  <a:pt x="1456" y="80"/>
                                </a:lnTo>
                                <a:lnTo>
                                  <a:pt x="1464" y="64"/>
                                </a:lnTo>
                                <a:lnTo>
                                  <a:pt x="1456" y="56"/>
                                </a:lnTo>
                                <a:lnTo>
                                  <a:pt x="1464" y="56"/>
                                </a:lnTo>
                                <a:lnTo>
                                  <a:pt x="1472" y="64"/>
                                </a:lnTo>
                                <a:lnTo>
                                  <a:pt x="1488" y="48"/>
                                </a:lnTo>
                                <a:lnTo>
                                  <a:pt x="1496" y="40"/>
                                </a:lnTo>
                                <a:lnTo>
                                  <a:pt x="1488" y="32"/>
                                </a:lnTo>
                                <a:lnTo>
                                  <a:pt x="1496" y="24"/>
                                </a:lnTo>
                                <a:lnTo>
                                  <a:pt x="1504" y="24"/>
                                </a:lnTo>
                                <a:lnTo>
                                  <a:pt x="360" y="400"/>
                                </a:lnTo>
                                <a:lnTo>
                                  <a:pt x="368" y="400"/>
                                </a:lnTo>
                                <a:lnTo>
                                  <a:pt x="368" y="408"/>
                                </a:lnTo>
                                <a:lnTo>
                                  <a:pt x="360" y="400"/>
                                </a:lnTo>
                                <a:lnTo>
                                  <a:pt x="1504" y="24"/>
                                </a:lnTo>
                                <a:lnTo>
                                  <a:pt x="368" y="400"/>
                                </a:lnTo>
                                <a:lnTo>
                                  <a:pt x="376" y="392"/>
                                </a:lnTo>
                                <a:lnTo>
                                  <a:pt x="392" y="400"/>
                                </a:lnTo>
                                <a:lnTo>
                                  <a:pt x="368" y="400"/>
                                </a:lnTo>
                                <a:lnTo>
                                  <a:pt x="1504" y="24"/>
                                </a:lnTo>
                                <a:lnTo>
                                  <a:pt x="504" y="368"/>
                                </a:lnTo>
                                <a:lnTo>
                                  <a:pt x="520" y="360"/>
                                </a:lnTo>
                                <a:lnTo>
                                  <a:pt x="512" y="368"/>
                                </a:lnTo>
                                <a:lnTo>
                                  <a:pt x="504" y="368"/>
                                </a:lnTo>
                                <a:lnTo>
                                  <a:pt x="1504" y="24"/>
                                </a:lnTo>
                                <a:lnTo>
                                  <a:pt x="600" y="336"/>
                                </a:lnTo>
                                <a:lnTo>
                                  <a:pt x="608" y="328"/>
                                </a:lnTo>
                                <a:lnTo>
                                  <a:pt x="616" y="328"/>
                                </a:lnTo>
                                <a:lnTo>
                                  <a:pt x="600" y="336"/>
                                </a:lnTo>
                                <a:lnTo>
                                  <a:pt x="1504" y="24"/>
                                </a:lnTo>
                                <a:lnTo>
                                  <a:pt x="1064" y="176"/>
                                </a:lnTo>
                                <a:lnTo>
                                  <a:pt x="1056" y="184"/>
                                </a:lnTo>
                                <a:lnTo>
                                  <a:pt x="1048" y="176"/>
                                </a:lnTo>
                                <a:lnTo>
                                  <a:pt x="1056" y="176"/>
                                </a:lnTo>
                                <a:lnTo>
                                  <a:pt x="1064" y="176"/>
                                </a:lnTo>
                                <a:lnTo>
                                  <a:pt x="1504" y="24"/>
                                </a:lnTo>
                                <a:lnTo>
                                  <a:pt x="1072" y="168"/>
                                </a:lnTo>
                                <a:lnTo>
                                  <a:pt x="1064" y="168"/>
                                </a:lnTo>
                                <a:lnTo>
                                  <a:pt x="1064" y="160"/>
                                </a:lnTo>
                                <a:lnTo>
                                  <a:pt x="1072" y="160"/>
                                </a:lnTo>
                                <a:lnTo>
                                  <a:pt x="1072" y="168"/>
                                </a:lnTo>
                                <a:lnTo>
                                  <a:pt x="1504" y="24"/>
                                </a:lnTo>
                                <a:lnTo>
                                  <a:pt x="1160" y="104"/>
                                </a:lnTo>
                                <a:lnTo>
                                  <a:pt x="1152" y="104"/>
                                </a:lnTo>
                                <a:lnTo>
                                  <a:pt x="1160" y="96"/>
                                </a:lnTo>
                                <a:lnTo>
                                  <a:pt x="1168" y="104"/>
                                </a:lnTo>
                                <a:lnTo>
                                  <a:pt x="1160" y="104"/>
                                </a:lnTo>
                                <a:lnTo>
                                  <a:pt x="1504" y="24"/>
                                </a:lnTo>
                                <a:lnTo>
                                  <a:pt x="1248" y="72"/>
                                </a:lnTo>
                                <a:lnTo>
                                  <a:pt x="1232" y="80"/>
                                </a:lnTo>
                                <a:lnTo>
                                  <a:pt x="1232" y="72"/>
                                </a:lnTo>
                                <a:lnTo>
                                  <a:pt x="1248" y="72"/>
                                </a:lnTo>
                                <a:lnTo>
                                  <a:pt x="1504" y="24"/>
                                </a:lnTo>
                                <a:lnTo>
                                  <a:pt x="1360" y="56"/>
                                </a:lnTo>
                                <a:lnTo>
                                  <a:pt x="1360" y="48"/>
                                </a:lnTo>
                                <a:lnTo>
                                  <a:pt x="1360" y="40"/>
                                </a:lnTo>
                                <a:lnTo>
                                  <a:pt x="1368" y="48"/>
                                </a:lnTo>
                                <a:lnTo>
                                  <a:pt x="1360" y="56"/>
                                </a:lnTo>
                                <a:lnTo>
                                  <a:pt x="1504" y="24"/>
                                </a:lnTo>
                                <a:lnTo>
                                  <a:pt x="1400" y="40"/>
                                </a:lnTo>
                                <a:lnTo>
                                  <a:pt x="1392" y="48"/>
                                </a:lnTo>
                                <a:lnTo>
                                  <a:pt x="1392" y="32"/>
                                </a:lnTo>
                                <a:lnTo>
                                  <a:pt x="1400" y="32"/>
                                </a:lnTo>
                                <a:lnTo>
                                  <a:pt x="1400" y="40"/>
                                </a:lnTo>
                                <a:lnTo>
                                  <a:pt x="1504" y="24"/>
                                </a:lnTo>
                                <a:lnTo>
                                  <a:pt x="968" y="144"/>
                                </a:lnTo>
                                <a:lnTo>
                                  <a:pt x="952" y="160"/>
                                </a:lnTo>
                                <a:lnTo>
                                  <a:pt x="968" y="152"/>
                                </a:lnTo>
                                <a:lnTo>
                                  <a:pt x="968" y="144"/>
                                </a:lnTo>
                                <a:lnTo>
                                  <a:pt x="1504" y="24"/>
                                </a:lnTo>
                                <a:lnTo>
                                  <a:pt x="448" y="336"/>
                                </a:lnTo>
                                <a:lnTo>
                                  <a:pt x="448" y="344"/>
                                </a:lnTo>
                                <a:lnTo>
                                  <a:pt x="456" y="352"/>
                                </a:lnTo>
                                <a:lnTo>
                                  <a:pt x="448" y="336"/>
                                </a:lnTo>
                                <a:lnTo>
                                  <a:pt x="1504" y="24"/>
                                </a:lnTo>
                                <a:lnTo>
                                  <a:pt x="408" y="344"/>
                                </a:lnTo>
                                <a:lnTo>
                                  <a:pt x="408" y="336"/>
                                </a:lnTo>
                                <a:lnTo>
                                  <a:pt x="400" y="344"/>
                                </a:lnTo>
                                <a:lnTo>
                                  <a:pt x="408" y="344"/>
                                </a:lnTo>
                                <a:lnTo>
                                  <a:pt x="1504" y="24"/>
                                </a:lnTo>
                                <a:lnTo>
                                  <a:pt x="392" y="368"/>
                                </a:lnTo>
                                <a:lnTo>
                                  <a:pt x="392" y="360"/>
                                </a:lnTo>
                                <a:lnTo>
                                  <a:pt x="384" y="360"/>
                                </a:lnTo>
                                <a:lnTo>
                                  <a:pt x="368" y="368"/>
                                </a:lnTo>
                                <a:lnTo>
                                  <a:pt x="384" y="368"/>
                                </a:lnTo>
                                <a:lnTo>
                                  <a:pt x="392" y="368"/>
                                </a:lnTo>
                                <a:lnTo>
                                  <a:pt x="1504" y="24"/>
                                </a:lnTo>
                                <a:lnTo>
                                  <a:pt x="176" y="424"/>
                                </a:lnTo>
                                <a:lnTo>
                                  <a:pt x="160" y="416"/>
                                </a:lnTo>
                                <a:lnTo>
                                  <a:pt x="168" y="424"/>
                                </a:lnTo>
                                <a:lnTo>
                                  <a:pt x="176" y="424"/>
                                </a:lnTo>
                                <a:lnTo>
                                  <a:pt x="1504" y="24"/>
                                </a:lnTo>
                                <a:lnTo>
                                  <a:pt x="184" y="432"/>
                                </a:lnTo>
                                <a:lnTo>
                                  <a:pt x="184" y="424"/>
                                </a:lnTo>
                                <a:lnTo>
                                  <a:pt x="176" y="424"/>
                                </a:lnTo>
                                <a:lnTo>
                                  <a:pt x="176" y="432"/>
                                </a:lnTo>
                                <a:lnTo>
                                  <a:pt x="184" y="432"/>
                                </a:lnTo>
                                <a:lnTo>
                                  <a:pt x="1504" y="24"/>
                                </a:lnTo>
                                <a:lnTo>
                                  <a:pt x="80" y="432"/>
                                </a:lnTo>
                                <a:lnTo>
                                  <a:pt x="72" y="432"/>
                                </a:lnTo>
                                <a:lnTo>
                                  <a:pt x="80" y="440"/>
                                </a:lnTo>
                                <a:lnTo>
                                  <a:pt x="80" y="432"/>
                                </a:lnTo>
                                <a:lnTo>
                                  <a:pt x="1504" y="24"/>
                                </a:lnTo>
                                <a:lnTo>
                                  <a:pt x="96" y="440"/>
                                </a:lnTo>
                                <a:lnTo>
                                  <a:pt x="88" y="440"/>
                                </a:lnTo>
                                <a:lnTo>
                                  <a:pt x="88" y="448"/>
                                </a:lnTo>
                                <a:lnTo>
                                  <a:pt x="96" y="440"/>
                                </a:lnTo>
                                <a:lnTo>
                                  <a:pt x="1504" y="24"/>
                                </a:lnTo>
                                <a:lnTo>
                                  <a:pt x="56" y="456"/>
                                </a:lnTo>
                                <a:lnTo>
                                  <a:pt x="64" y="456"/>
                                </a:lnTo>
                                <a:lnTo>
                                  <a:pt x="64" y="448"/>
                                </a:lnTo>
                                <a:lnTo>
                                  <a:pt x="56" y="448"/>
                                </a:lnTo>
                                <a:lnTo>
                                  <a:pt x="56" y="456"/>
                                </a:lnTo>
                                <a:lnTo>
                                  <a:pt x="1504" y="24"/>
                                </a:lnTo>
                                <a:lnTo>
                                  <a:pt x="32" y="456"/>
                                </a:lnTo>
                                <a:lnTo>
                                  <a:pt x="8" y="448"/>
                                </a:lnTo>
                                <a:lnTo>
                                  <a:pt x="0" y="456"/>
                                </a:lnTo>
                                <a:lnTo>
                                  <a:pt x="16" y="456"/>
                                </a:lnTo>
                                <a:lnTo>
                                  <a:pt x="32" y="456"/>
                                </a:lnTo>
                                <a:lnTo>
                                  <a:pt x="1504" y="24"/>
                                </a:lnTo>
                                <a:lnTo>
                                  <a:pt x="32" y="464"/>
                                </a:lnTo>
                                <a:lnTo>
                                  <a:pt x="40" y="464"/>
                                </a:lnTo>
                                <a:lnTo>
                                  <a:pt x="40" y="456"/>
                                </a:lnTo>
                                <a:lnTo>
                                  <a:pt x="32" y="456"/>
                                </a:lnTo>
                                <a:lnTo>
                                  <a:pt x="32" y="464"/>
                                </a:lnTo>
                                <a:lnTo>
                                  <a:pt x="1504" y="24"/>
                                </a:lnTo>
                                <a:close/>
                              </a:path>
                            </a:pathLst>
                          </a:custGeom>
                          <a:solidFill>
                            <a:srgbClr val="34B3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42"/>
                        <wps:cNvSpPr>
                          <a:spLocks/>
                        </wps:cNvSpPr>
                        <wps:spPr bwMode="auto">
                          <a:xfrm>
                            <a:off x="5160" y="1805810"/>
                            <a:ext cx="7556116" cy="752563"/>
                          </a:xfrm>
                          <a:custGeom>
                            <a:avLst/>
                            <a:gdLst>
                              <a:gd name="T0" fmla="*/ 0 w 4728"/>
                              <a:gd name="T1" fmla="*/ 752563 h 577"/>
                              <a:gd name="T2" fmla="*/ 544974 w 4728"/>
                              <a:gd name="T3" fmla="*/ 713435 h 577"/>
                              <a:gd name="T4" fmla="*/ 1185837 w 4728"/>
                              <a:gd name="T5" fmla="*/ 674307 h 577"/>
                              <a:gd name="T6" fmla="*/ 2766421 w 4728"/>
                              <a:gd name="T7" fmla="*/ 542576 h 577"/>
                              <a:gd name="T8" fmla="*/ 4233535 w 4728"/>
                              <a:gd name="T9" fmla="*/ 425192 h 577"/>
                              <a:gd name="T10" fmla="*/ 4762527 w 4728"/>
                              <a:gd name="T11" fmla="*/ 379542 h 577"/>
                              <a:gd name="T12" fmla="*/ 5015036 w 4728"/>
                              <a:gd name="T13" fmla="*/ 352153 h 577"/>
                              <a:gd name="T14" fmla="*/ 5117319 w 4728"/>
                              <a:gd name="T15" fmla="*/ 333893 h 577"/>
                              <a:gd name="T16" fmla="*/ 5146086 w 4728"/>
                              <a:gd name="T17" fmla="*/ 318242 h 577"/>
                              <a:gd name="T18" fmla="*/ 5146086 w 4728"/>
                              <a:gd name="T19" fmla="*/ 299982 h 577"/>
                              <a:gd name="T20" fmla="*/ 5123711 w 4728"/>
                              <a:gd name="T21" fmla="*/ 293460 h 577"/>
                              <a:gd name="T22" fmla="*/ 5042205 w 4728"/>
                              <a:gd name="T23" fmla="*/ 277809 h 577"/>
                              <a:gd name="T24" fmla="*/ 4903165 w 4728"/>
                              <a:gd name="T25" fmla="*/ 260854 h 577"/>
                              <a:gd name="T26" fmla="*/ 4728965 w 4728"/>
                              <a:gd name="T27" fmla="*/ 238681 h 577"/>
                              <a:gd name="T28" fmla="*/ 4561158 w 4728"/>
                              <a:gd name="T29" fmla="*/ 206074 h 577"/>
                              <a:gd name="T30" fmla="*/ 4401342 w 4728"/>
                              <a:gd name="T31" fmla="*/ 166946 h 577"/>
                              <a:gd name="T32" fmla="*/ 4348602 w 4728"/>
                              <a:gd name="T33" fmla="*/ 151295 h 577"/>
                              <a:gd name="T34" fmla="*/ 4347004 w 4728"/>
                              <a:gd name="T35" fmla="*/ 135644 h 577"/>
                              <a:gd name="T36" fmla="*/ 4359789 w 4728"/>
                              <a:gd name="T37" fmla="*/ 126514 h 577"/>
                              <a:gd name="T38" fmla="*/ 4412529 w 4728"/>
                              <a:gd name="T39" fmla="*/ 110863 h 577"/>
                              <a:gd name="T40" fmla="*/ 4602710 w 4728"/>
                              <a:gd name="T41" fmla="*/ 87386 h 577"/>
                              <a:gd name="T42" fmla="*/ 4879193 w 4728"/>
                              <a:gd name="T43" fmla="*/ 71735 h 577"/>
                              <a:gd name="T44" fmla="*/ 5556814 w 4728"/>
                              <a:gd name="T45" fmla="*/ 39128 h 577"/>
                              <a:gd name="T46" fmla="*/ 6223248 w 4728"/>
                              <a:gd name="T47" fmla="*/ 23477 h 577"/>
                              <a:gd name="T48" fmla="*/ 7556116 w 4728"/>
                              <a:gd name="T49" fmla="*/ 0 h 57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728" h="577">
                                <a:moveTo>
                                  <a:pt x="0" y="577"/>
                                </a:moveTo>
                                <a:lnTo>
                                  <a:pt x="341" y="547"/>
                                </a:lnTo>
                                <a:lnTo>
                                  <a:pt x="742" y="517"/>
                                </a:lnTo>
                                <a:lnTo>
                                  <a:pt x="1731" y="416"/>
                                </a:lnTo>
                                <a:lnTo>
                                  <a:pt x="2649" y="326"/>
                                </a:lnTo>
                                <a:lnTo>
                                  <a:pt x="2980" y="291"/>
                                </a:lnTo>
                                <a:lnTo>
                                  <a:pt x="3138" y="270"/>
                                </a:lnTo>
                                <a:lnTo>
                                  <a:pt x="3202" y="256"/>
                                </a:lnTo>
                                <a:lnTo>
                                  <a:pt x="3220" y="244"/>
                                </a:lnTo>
                                <a:lnTo>
                                  <a:pt x="3220" y="230"/>
                                </a:lnTo>
                                <a:lnTo>
                                  <a:pt x="3206" y="225"/>
                                </a:lnTo>
                                <a:lnTo>
                                  <a:pt x="3155" y="213"/>
                                </a:lnTo>
                                <a:lnTo>
                                  <a:pt x="3068" y="200"/>
                                </a:lnTo>
                                <a:lnTo>
                                  <a:pt x="2959" y="183"/>
                                </a:lnTo>
                                <a:lnTo>
                                  <a:pt x="2854" y="158"/>
                                </a:lnTo>
                                <a:lnTo>
                                  <a:pt x="2754" y="128"/>
                                </a:lnTo>
                                <a:lnTo>
                                  <a:pt x="2721" y="116"/>
                                </a:lnTo>
                                <a:lnTo>
                                  <a:pt x="2720" y="104"/>
                                </a:lnTo>
                                <a:lnTo>
                                  <a:pt x="2728" y="97"/>
                                </a:lnTo>
                                <a:lnTo>
                                  <a:pt x="2761" y="85"/>
                                </a:lnTo>
                                <a:lnTo>
                                  <a:pt x="2880" y="67"/>
                                </a:lnTo>
                                <a:lnTo>
                                  <a:pt x="3053" y="55"/>
                                </a:lnTo>
                                <a:lnTo>
                                  <a:pt x="3477" y="30"/>
                                </a:lnTo>
                                <a:lnTo>
                                  <a:pt x="3894" y="18"/>
                                </a:lnTo>
                                <a:lnTo>
                                  <a:pt x="4728" y="0"/>
                                </a:lnTo>
                              </a:path>
                            </a:pathLst>
                          </a:custGeom>
                          <a:noFill/>
                          <a:ln w="11430">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43"/>
                        <wps:cNvSpPr>
                          <a:spLocks/>
                        </wps:cNvSpPr>
                        <wps:spPr bwMode="auto">
                          <a:xfrm>
                            <a:off x="15479" y="1876710"/>
                            <a:ext cx="7545797" cy="922552"/>
                          </a:xfrm>
                          <a:custGeom>
                            <a:avLst/>
                            <a:gdLst>
                              <a:gd name="T0" fmla="*/ 0 w 4439"/>
                              <a:gd name="T1" fmla="*/ 922552 h 708"/>
                              <a:gd name="T2" fmla="*/ 965536 w 4439"/>
                              <a:gd name="T3" fmla="*/ 844370 h 708"/>
                              <a:gd name="T4" fmla="*/ 1346310 w 4439"/>
                              <a:gd name="T5" fmla="*/ 813097 h 708"/>
                              <a:gd name="T6" fmla="*/ 1978668 w 4439"/>
                              <a:gd name="T7" fmla="*/ 771399 h 708"/>
                              <a:gd name="T8" fmla="*/ 2767416 w 4439"/>
                              <a:gd name="T9" fmla="*/ 714066 h 708"/>
                              <a:gd name="T10" fmla="*/ 3678555 w 4439"/>
                              <a:gd name="T11" fmla="*/ 641095 h 708"/>
                              <a:gd name="T12" fmla="*/ 4630491 w 4439"/>
                              <a:gd name="T13" fmla="*/ 552489 h 708"/>
                              <a:gd name="T14" fmla="*/ 5106460 w 4439"/>
                              <a:gd name="T15" fmla="*/ 489943 h 708"/>
                              <a:gd name="T16" fmla="*/ 5490634 w 4439"/>
                              <a:gd name="T17" fmla="*/ 437821 h 708"/>
                              <a:gd name="T18" fmla="*/ 5788114 w 4439"/>
                              <a:gd name="T19" fmla="*/ 384397 h 708"/>
                              <a:gd name="T20" fmla="*/ 5971702 w 4439"/>
                              <a:gd name="T21" fmla="*/ 345305 h 708"/>
                              <a:gd name="T22" fmla="*/ 6056696 w 4439"/>
                              <a:gd name="T23" fmla="*/ 319245 h 708"/>
                              <a:gd name="T24" fmla="*/ 6138291 w 4439"/>
                              <a:gd name="T25" fmla="*/ 286669 h 708"/>
                              <a:gd name="T26" fmla="*/ 6163789 w 4439"/>
                              <a:gd name="T27" fmla="*/ 260608 h 708"/>
                              <a:gd name="T28" fmla="*/ 6143390 w 4439"/>
                              <a:gd name="T29" fmla="*/ 235850 h 708"/>
                              <a:gd name="T30" fmla="*/ 6048197 w 4439"/>
                              <a:gd name="T31" fmla="*/ 211092 h 708"/>
                              <a:gd name="T32" fmla="*/ 5949603 w 4439"/>
                              <a:gd name="T33" fmla="*/ 195456 h 708"/>
                              <a:gd name="T34" fmla="*/ 5769415 w 4439"/>
                              <a:gd name="T35" fmla="*/ 172001 h 708"/>
                              <a:gd name="T36" fmla="*/ 5575628 w 4439"/>
                              <a:gd name="T37" fmla="*/ 151153 h 708"/>
                              <a:gd name="T38" fmla="*/ 5347844 w 4439"/>
                              <a:gd name="T39" fmla="*/ 132910 h 708"/>
                              <a:gd name="T40" fmla="*/ 5266249 w 4439"/>
                              <a:gd name="T41" fmla="*/ 127698 h 708"/>
                              <a:gd name="T42" fmla="*/ 5232251 w 4439"/>
                              <a:gd name="T43" fmla="*/ 114667 h 708"/>
                              <a:gd name="T44" fmla="*/ 5225452 w 4439"/>
                              <a:gd name="T45" fmla="*/ 104243 h 708"/>
                              <a:gd name="T46" fmla="*/ 5249250 w 4439"/>
                              <a:gd name="T47" fmla="*/ 88607 h 708"/>
                              <a:gd name="T48" fmla="*/ 5375042 w 4439"/>
                              <a:gd name="T49" fmla="*/ 72970 h 708"/>
                              <a:gd name="T50" fmla="*/ 5551830 w 4439"/>
                              <a:gd name="T51" fmla="*/ 57334 h 708"/>
                              <a:gd name="T52" fmla="*/ 5968302 w 4439"/>
                              <a:gd name="T53" fmla="*/ 46909 h 708"/>
                              <a:gd name="T54" fmla="*/ 6330378 w 4439"/>
                              <a:gd name="T55" fmla="*/ 31273 h 708"/>
                              <a:gd name="T56" fmla="*/ 7545797 w 4439"/>
                              <a:gd name="T57" fmla="*/ 0 h 708"/>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4439" h="708">
                                <a:moveTo>
                                  <a:pt x="0" y="708"/>
                                </a:moveTo>
                                <a:lnTo>
                                  <a:pt x="568" y="648"/>
                                </a:lnTo>
                                <a:lnTo>
                                  <a:pt x="792" y="624"/>
                                </a:lnTo>
                                <a:lnTo>
                                  <a:pt x="1164" y="592"/>
                                </a:lnTo>
                                <a:lnTo>
                                  <a:pt x="1628" y="548"/>
                                </a:lnTo>
                                <a:lnTo>
                                  <a:pt x="2164" y="492"/>
                                </a:lnTo>
                                <a:lnTo>
                                  <a:pt x="2724" y="424"/>
                                </a:lnTo>
                                <a:lnTo>
                                  <a:pt x="3004" y="376"/>
                                </a:lnTo>
                                <a:lnTo>
                                  <a:pt x="3230" y="336"/>
                                </a:lnTo>
                                <a:lnTo>
                                  <a:pt x="3405" y="295"/>
                                </a:lnTo>
                                <a:lnTo>
                                  <a:pt x="3513" y="265"/>
                                </a:lnTo>
                                <a:lnTo>
                                  <a:pt x="3563" y="245"/>
                                </a:lnTo>
                                <a:lnTo>
                                  <a:pt x="3611" y="220"/>
                                </a:lnTo>
                                <a:lnTo>
                                  <a:pt x="3626" y="200"/>
                                </a:lnTo>
                                <a:lnTo>
                                  <a:pt x="3614" y="181"/>
                                </a:lnTo>
                                <a:lnTo>
                                  <a:pt x="3558" y="162"/>
                                </a:lnTo>
                                <a:lnTo>
                                  <a:pt x="3500" y="150"/>
                                </a:lnTo>
                                <a:lnTo>
                                  <a:pt x="3394" y="132"/>
                                </a:lnTo>
                                <a:lnTo>
                                  <a:pt x="3280" y="116"/>
                                </a:lnTo>
                                <a:lnTo>
                                  <a:pt x="3146" y="102"/>
                                </a:lnTo>
                                <a:lnTo>
                                  <a:pt x="3098" y="98"/>
                                </a:lnTo>
                                <a:lnTo>
                                  <a:pt x="3078" y="88"/>
                                </a:lnTo>
                                <a:lnTo>
                                  <a:pt x="3074" y="80"/>
                                </a:lnTo>
                                <a:lnTo>
                                  <a:pt x="3088" y="68"/>
                                </a:lnTo>
                                <a:lnTo>
                                  <a:pt x="3162" y="56"/>
                                </a:lnTo>
                                <a:lnTo>
                                  <a:pt x="3266" y="44"/>
                                </a:lnTo>
                                <a:lnTo>
                                  <a:pt x="3511" y="36"/>
                                </a:lnTo>
                                <a:lnTo>
                                  <a:pt x="3724" y="24"/>
                                </a:lnTo>
                                <a:lnTo>
                                  <a:pt x="4439" y="0"/>
                                </a:lnTo>
                              </a:path>
                            </a:pathLst>
                          </a:custGeom>
                          <a:noFill/>
                          <a:ln w="11430">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44"/>
                        <wps:cNvSpPr>
                          <a:spLocks/>
                        </wps:cNvSpPr>
                        <wps:spPr bwMode="auto">
                          <a:xfrm>
                            <a:off x="30957" y="1751140"/>
                            <a:ext cx="7530318" cy="59795"/>
                          </a:xfrm>
                          <a:custGeom>
                            <a:avLst/>
                            <a:gdLst>
                              <a:gd name="T0" fmla="*/ 0 w 5408"/>
                              <a:gd name="T1" fmla="*/ 59795 h 46"/>
                              <a:gd name="T2" fmla="*/ 1304717 w 5408"/>
                              <a:gd name="T3" fmla="*/ 40297 h 46"/>
                              <a:gd name="T4" fmla="*/ 2637282 w 5408"/>
                              <a:gd name="T5" fmla="*/ 31197 h 46"/>
                              <a:gd name="T6" fmla="*/ 4042255 w 5408"/>
                              <a:gd name="T7" fmla="*/ 11699 h 46"/>
                              <a:gd name="T8" fmla="*/ 5227221 w 5408"/>
                              <a:gd name="T9" fmla="*/ 1300 h 46"/>
                              <a:gd name="T10" fmla="*/ 7530318 w 5408"/>
                              <a:gd name="T11" fmla="*/ 0 h 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08" h="46">
                                <a:moveTo>
                                  <a:pt x="0" y="46"/>
                                </a:moveTo>
                                <a:lnTo>
                                  <a:pt x="937" y="31"/>
                                </a:lnTo>
                                <a:lnTo>
                                  <a:pt x="1894" y="24"/>
                                </a:lnTo>
                                <a:lnTo>
                                  <a:pt x="2903" y="9"/>
                                </a:lnTo>
                                <a:lnTo>
                                  <a:pt x="3754" y="1"/>
                                </a:lnTo>
                                <a:lnTo>
                                  <a:pt x="5408" y="0"/>
                                </a:lnTo>
                              </a:path>
                            </a:pathLst>
                          </a:custGeom>
                          <a:noFill/>
                          <a:ln w="11430">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39"/>
                        <wps:cNvSpPr>
                          <a:spLocks noChangeArrowheads="1"/>
                        </wps:cNvSpPr>
                        <wps:spPr bwMode="auto">
                          <a:xfrm>
                            <a:off x="5080" y="3582035"/>
                            <a:ext cx="7556500" cy="1191895"/>
                          </a:xfrm>
                          <a:prstGeom prst="rect">
                            <a:avLst/>
                          </a:prstGeom>
                          <a:solidFill>
                            <a:schemeClr val="tx2">
                              <a:lumMod val="20000"/>
                              <a:lumOff val="80000"/>
                            </a:schemeClr>
                          </a:solidFill>
                          <a:ln>
                            <a:noFill/>
                          </a:ln>
                          <a:effectLst/>
                        </wps:spPr>
                        <wps:txbx>
                          <w:txbxContent>
                            <w:p w14:paraId="5FB1244B" w14:textId="77777777" w:rsidR="00CF382D" w:rsidRPr="0091484A" w:rsidRDefault="00CF382D" w:rsidP="00B73114">
                              <w:pPr>
                                <w:pStyle w:val="Titre"/>
                              </w:pPr>
                              <w:r w:rsidRPr="0091484A">
                                <w:t>Mandat de gestion de compte d’instruments financiers</w:t>
                              </w:r>
                            </w:p>
                          </w:txbxContent>
                        </wps:txbx>
                        <wps:bodyPr rot="0" vert="horz" wrap="square" lIns="0" tIns="0" rIns="0" bIns="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3DFE884" id="Zone de dessin 136" o:spid="_x0000_s1026" editas="canvas" style="position:absolute;left:0;text-align:left;margin-left:0;margin-top:0;width:595.85pt;height:443.25pt;z-index:251659264;mso-position-horizontal:center;mso-position-horizontal-relative:margin;mso-position-vertical:top;mso-position-vertical-relative:margin" coordsize="75672,5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72;height:56292;visibility:visible;mso-wrap-style:square">
                  <v:fill o:detectmouseclick="t"/>
                  <v:path o:connecttype="none"/>
                </v:shape>
                <v:shape id="Freeform 140" o:spid="_x0000_s1028" style="position:absolute;left:15736;top:10344;width:59876;height:6663;visibility:visible;mso-wrap-style:square;v-text-anchor:top" coordsize="509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" path="m4384,648r-64,-16l4288,624r-40,-8l4264,624r-56,-16l4144,592r-96,-16l3832,520,3672,496,3520,456,3408,424r-16,8l3256,392r-56,-8l3144,376r-56,-24l3024,344r24,8l2648,256r,8l2656,264,2512,216r-80,-16l2352,192r24,l2400,200r-40,l2304,192r-96,-32l2216,168r-32,-8l2152,152r8,8l2136,160r-24,-8l2056,136r-96,-24l1864,112r48,l1872,96r-56,-8l1712,80r8,8l1464,56,1200,24r-64,l1000,8r8,8l904,8r-24,8l848,8,784,,696,8,600,,584,8r-16,l520,8r-88,8l344,16r8,8l264,32r16,-8l256,16r-24,8l184,40r-72,l96,48r24,l80,56,40,64,16,72r32,l8,88,,88r,8l56,88r64,l112,80r40,8l144,88r,-8l168,88r-8,l200,80r16,l224,72r96,l312,64,432,56r-24,l408,48r40,l440,48r24,8l520,56r88,l592,48r72,8l680,48r32,-8l776,48r-8,l792,48r24,l952,64r,-8l1000,72r96,l1192,72r56,8l1280,88r32,-8l1288,72r64,8l1328,88r16,8l1336,88r224,24l1664,120r104,8l1760,128r64,16l1784,136r16,8l1816,144r32,l1984,168r80,8l2088,184r16,16l2112,200r-32,l2048,192r120,24l2296,240r-48,-16l2208,216r32,-8l2272,216r64,24l2432,264r104,16l2504,272r48,8l2552,272r-8,l2472,264r-40,-16l2392,240r8,l2456,240r88,32l2552,272r56,24l2632,312r,-8l2664,312r-8,l2656,304r64,16l2784,320r80,40l2904,368r48,8l2944,368r192,48l3136,408r112,32l3240,432r-16,l3248,432r24,8l3264,440r120,32l3352,464r40,l3432,480r-16,-16l3400,464r64,8l3528,488r120,32l3640,520r,8l3704,536r-16,8l3720,552r40,l3720,536r-40,-16l3672,520r24,l3736,528r56,24l3768,544r48,16l3776,552r32,8l3840,560r40,l3920,568r64,32l3992,592r8,l3936,568r64,16l4048,600r104,24l4248,648r8,l4256,640r-24,l4232,632r56,16l4336,648r24,8l4392,664r-8,l4384,656r120,32l4632,704r-8,-8l4536,680r40,l4624,688r56,8l4728,704r-8,-8l4752,688r24,8l4808,696r32,l4848,688r16,-8l4672,688,4528,664,4392,648r-8,l832,48r40,l848,48r-16,l4384,648,1520,64r32,8l1536,72r-16,-8l4384,648,3832,536r24,8l3840,544r-8,-8l4384,648,3888,552r,-8l3912,560r-24,-8l4384,648,3400,480r8,l3392,472r8,8l4384,648,3440,488r16,l3440,480r,8l4384,648,3552,504r24,l3552,496r,8l4384,648,4048,608r-8,-8l4024,600r8,8l4048,608r336,40l5088,624r-96,40l5048,648r48,-24l5088,624r-704,24l4968,664r16,l4984,656r-8,l4968,664,4384,648r496,40l4904,688r8,-8l4904,680r-24,8l4384,648r416,56l4800,696r-8,l4800,704,4384,648xe" fillcolor="#0a50a1" stroked="f">
                  <v:path arrowok="t" o:connecttype="custom" o:connectlocs="2147483646,558936239;2147483646,444281875;2147483646,343960253;2147483646,229306835;2147483646,171980600;2147483646,143317009;2147483646,143317009;2147483646,100321622;2021114991,50160811;1248010299,7165425;828325701,0;474906782,14331796;320286079,21497220;110443192,50160811;0,78824402;209842887,78824402;276108567,71658031;596394645,50160811;640572157,50160811;938768892,42995387;1126522436,42995387;1645606729,64492607;1866494288,71658031;2147483646,107487993;2147483646,128985213;2147483646,164814229;2147483646,193477820;2147483646,193477820;2147483646,250805002;2147483646,214975040;2147483646,265135851;2147483646,272302222;2147483646,336794828;2147483646,386955640;2147483646,422784655;2147483646,415619231;2147483646,472945466;2147483646,480111837;2147483646,494443633;2147483646,501609057;2147483646,530272648;2147483646,580433459;2147483646,580433459;2147483646,587598884;2147483646,609097050;2147483646,616262475;2147483646,609097050;1148611779,42995387;2098425343,57327182;2147483646,480111837;2147483646,494443633;2147483646,429951026;2147483646,437116451;2147483646,451448246;2147483646,544604444;2147483646,580433459;2147483646,558936239;2147483646,587598884;2147483646,609097050;2147483646,623428846" o:connectangles="0,0,0,0,0,0,0,0,0,0,0,0,0,0,0,0,0,0,0,0,0,0,0,0,0,0,0,0,0,0,0,0,0,0,0,0,0,0,0,0,0,0,0,0,0,0,0,0,0,0,0,0,0,0,0,0,0,0,0,0"/>
                </v:shape>
                <v:shape id="Freeform 141" o:spid="_x0000_s1029" style="position:absolute;left:48585;top:9746;width:27027;height:4459;visibility:visible;mso-wrap-style:square;v-text-anchor:top" coordsize="150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" path="m1504,24r,-8l1456,r8,8l1448,8r8,8l1448,16,1432,8r,8l1432,24r-32,-8l1400,24r-16,8l1360,40r-48,l1312,48r8,8l1320,64,1296,48r,8l1280,64r-16,8l1256,72r8,-8l1208,64r,8l1192,64r-24,8l1144,96r-32,l1104,104r8,8l1088,112r8,-16l1088,96r-8,8l1096,104r-16,l1064,112r,-8l1032,128r-32,8l1000,152r-24,8l952,160r-24,l920,160r8,8l872,184r-8,-16l880,168r8,-8l880,160r-40,16l816,184r-8,8l824,192r16,l832,208r-16,l800,200r-32,8l744,216r,8l760,224r-16,8l744,240r16,l760,224r16,l792,224r8,16l768,240r-24,8l736,240r-16,l728,232r-16,-8l720,232r-16,l712,240r-16,8l688,264r-48,-8l632,256r-8,8l624,280r-24,l592,288r-16,l576,296r-40,8l552,304r-8,8l536,312r,-8l528,312r-32,l504,320r8,l488,328r16,8l488,344r-16,8l424,360r8,-8l432,344r-32,8l376,360r48,l424,368r-8,8l384,376r-16,l352,392,336,376r-8,l328,384r,8l344,400r8,l336,400r-32,l248,400r8,8l264,408r-24,8l240,424r-24,l208,424r8,8l184,440r-40,-8l144,440r24,8l176,448r-8,8l144,448r-32,-8l112,448r-8,8l96,456r8,-8l80,448r,8l72,456r8,8l104,472r,-8l128,464r16,8l192,456r24,-8l232,456r8,-8l248,456r8,-8l264,440r-16,l264,432r16,8l296,440r80,-16l448,400r32,-16l520,384r,-8l544,376r24,-16l584,352r48,-8l624,336r56,-24l736,304r,-8l784,288r48,-8l816,280r8,-8l824,264r,8l824,264r48,l864,256r8,l872,264r16,-8l880,248r16,l920,248r32,-24l984,208r-32,16l952,232r56,-16l1008,208r16,l1032,192r32,-8l1088,176r64,-8l1176,160r40,-8l1208,144r40,-8l1280,120r40,l1352,104r40,l1384,96r16,l1392,88r,-8l1400,88r16,-8l1416,88r-8,8l1424,96r8,-8l1448,80r8,l1464,64r-8,-8l1464,56r8,8l1488,48r8,-8l1488,32r8,-8l1504,24,360,400r8,l368,408r-8,-8l1504,24,368,400r8,-8l392,400r-24,l1504,24,504,368r16,-8l512,368r-8,l1504,24,600,336r8,-8l616,328r-16,8l1504,24,1064,176r-8,8l1048,176r8,l1064,176,1504,24,1072,168r-8,l1064,160r8,l1072,168,1504,24r-344,80l1152,104r8,-8l1168,104r-8,l1504,24,1248,72r-16,8l1232,72r16,l1504,24,1360,56r,-8l1360,40r8,8l1360,56,1504,24,1400,40r-8,8l1392,32r8,l1400,40,1504,24,968,144r-16,16l968,152r,-8l1504,24,448,336r,8l456,352r-8,-16l1504,24,408,344r,-8l400,344r8,l1504,24,392,368r,-8l384,360r-16,8l384,368r8,l1504,24,176,424r-16,-8l168,424r8,l1504,24,184,432r,-8l176,424r,8l184,432,1504,24,80,432r-8,l80,440r,-8l1504,24,96,440r-8,l88,448r8,-8l1504,24,56,456r8,l64,448r-8,l56,456,1504,24,32,456,8,448,,456r16,l32,456,1504,24,32,464r8,l40,456r-8,l32,464,1504,24xe" fillcolor="#34b3d1" stroked="f">
                  <v:path arrowok="t" o:connecttype="custom" o:connectlocs="2147483646,14279192;2147483646,21419260;2147483646,57117712;2147483646,57117712;2147483646,85677040;2147483646,92816163;2147483646,121375492;2147483646,149933875;2147483646,157073943;2147483646,185632327;2147483646,207051587;2147483646,214191655;2147483646,199912463;2066754897,228470847;1860078868,257030175;1730906799,271309367;1627568785,299867750;1291722484,314147886;1188384470,335566202;1110880510,356985462;852536372,364125530;594192235,392683913;465020166,399823982;258344137,399823982;413350261,414103173;800868264,406964050;955874387,392683913;1756740854,335566202;2147483646,271309367;2147483646,235610915;2147483646,235610915;2147483646,185632327;2147483646,171353135;2147483646,128514615;2147483646,85677040;2147483646,78536972;2147483646,57117712;2147483646,28559328;1162550416,356985462;2147483646,21419260;1937582828,299867750;2147483646,164213067;2147483646,149933875;2147483646,92816163;2147483646,71396903;2147483646,35698452;2147483646,28559328;2147483646,135654683;1446728607,299867750;2147483646,21419260;1265886633,328427078;2147483646,21419260;2147483646,21419260;310014043,392683913;206676029,406964050;25834054,399823982;129172069,414103173" o:connectangles="0,0,0,0,0,0,0,0,0,0,0,0,0,0,0,0,0,0,0,0,0,0,0,0,0,0,0,0,0,0,0,0,0,0,0,0,0,0,0,0,0,0,0,0,0,0,0,0,0,0,0,0,0,0,0,0,0"/>
                </v:shape>
                <v:shape id="Freeform 142" o:spid="_x0000_s1030" style="position:absolute;left:51;top:18058;width:75561;height:7525;visibility:visible;mso-wrap-style:square;v-text-anchor:top" coordsize="472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" path="m,577l341,547,742,517,1731,416r918,-90l2980,291r158,-21l3202,256r18,-12l3220,230r-14,-5l3155,213r-87,-13l2959,183,2854,158,2754,128r-33,-12l2720,104r8,-7l2761,85,2880,67,3053,55,3477,30,3894,18,4728,e" filled="f" strokecolor="#666" strokeweight=".9pt">
                  <v:path arrowok="t" o:connecttype="custom" o:connectlocs="0,981544314;870957437,930510891;1895161153,879477468;2147483646,707664857;2147483646,554564588;2147483646,495024725;2147483646,459302111;2147483646,435486166;2147483646,415073058;2147483646,391257112;2147483646,382750672;2147483646,362337564;2147483646,340223689;2147483646,311304141;2147483646,268775854;2147483646,217742431;2147483646,197329323;2147483646,176916214;2147483646,165008242;2147483646,144595133;2147483646,113974819;2147483646,93561710;2147483646,51033423;2147483646,30620315;2147483646,0" o:connectangles="0,0,0,0,0,0,0,0,0,0,0,0,0,0,0,0,0,0,0,0,0,0,0,0,0"/>
                </v:shape>
                <v:shape id="Freeform 143" o:spid="_x0000_s1031" style="position:absolute;left:154;top:18767;width:75458;height:9225;visibility:visible;mso-wrap-style:square;v-text-anchor:top" coordsize="4439,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" path="m,708l568,648,792,624r372,-32l1628,548r536,-56l2724,424r280,-48l3230,336r175,-41l3513,265r50,-20l3611,220r15,-20l3614,181r-56,-19l3500,150,3394,132,3280,116,3146,102r-48,-4l3078,88r-4,-8l3088,68r74,-12l3266,44r245,-8l3724,24,4439,e" filled="f" strokecolor="#666" strokeweight=".9pt">
                  <v:path arrowok="t" o:connecttype="custom" o:connectlocs="0,1202121741;1641301791,1100247503;2147483646,1059497547;2147483646,1005163404;2147483646,930456238;2147483646,835372139;2147483646,719915017;2147483646,638415105;2147483646,570498078;2147483646,500884493;2147483646,449946071;2147483646,415988861;2147483646,373541044;2147483646,339582531;2147483646,307321877;2147483646,275061224;2147483646,254686898;2147483646,224124105;2147483646,196958337;2147483646,173186986;2147483646,166395544;2147483646,149415636;2147483646,135832752;2147483646,115458425;2147483646,95082796;2147483646,74708469;2147483646,61124282;2147483646,40749956;2147483646,0" o:connectangles="0,0,0,0,0,0,0,0,0,0,0,0,0,0,0,0,0,0,0,0,0,0,0,0,0,0,0,0,0"/>
                </v:shape>
                <v:shape id="Freeform 144" o:spid="_x0000_s1032" style="position:absolute;left:309;top:17511;width:75303;height:598;visibility:visible;mso-wrap-style:square;v-text-anchor:top" coordsize="540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" path="m,46l937,31r957,-7l2903,9,3754,1,5408,e" filled="f" strokecolor="#666" strokeweight=".9pt">
                  <v:path arrowok="t" o:connecttype="custom" o:connectlocs="0,77727001;1816740738,52381720;2147483646,40552709;2147483646,15207428;2147483646,1689859;2147483646,0" o:connectangles="0,0,0,0,0,0"/>
                </v:shape>
                <v:rect id="Rectangle 139" o:spid="_x0000_s1033" style="position:absolute;left:50;top:35820;width:75565;height:11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" fillcolor="#dfe3e5 [671]" stroked="f">
                  <v:textbox inset="0,0,0,0">
                    <w:txbxContent>
                      <w:p w14:paraId="5FB1244B" w14:textId="77777777" w:rsidR="00CF382D" w:rsidRPr="0091484A" w:rsidRDefault="00CF382D" w:rsidP="00B73114">
                        <w:pPr>
                          <w:pStyle w:val="Titre"/>
                        </w:pPr>
                        <w:r w:rsidRPr="0091484A">
                          <w:t>Mandat de gestion de compte d’instruments financiers</w:t>
                        </w:r>
                      </w:p>
                    </w:txbxContent>
                  </v:textbox>
                </v:rect>
                <w10:wrap type="square" anchorx="margin" anchory="margin"/>
              </v:group>
            </w:pict>
          </mc:Fallback>
        </mc:AlternateContent>
      </w:r>
      <w:r w:rsidR="0091484A" w:rsidRPr="004829F6">
        <w:t>Gestion Sous Mandat</w:t>
      </w:r>
    </w:p>
    <w:p w14:paraId="3E69059D" w14:textId="43B91068" w:rsidR="003403EE" w:rsidRPr="004829F6" w:rsidRDefault="0091484A" w:rsidP="00563EFD">
      <w:pPr>
        <w:pStyle w:val="NormalCentered"/>
        <w:rPr>
          <w:highlight w:val="yellow"/>
        </w:rPr>
      </w:pPr>
      <w:r w:rsidRPr="004829F6">
        <w:t>Ban</w:t>
      </w:r>
      <w:r w:rsidRPr="004829F6">
        <w:rPr>
          <w:rStyle w:val="NormalCenteredCar"/>
        </w:rPr>
        <w:t>que</w:t>
      </w:r>
      <w:r w:rsidRPr="004829F6">
        <w:t xml:space="preserve"> </w:t>
      </w:r>
      <w:r w:rsidR="004B6A40" w:rsidRPr="004829F6">
        <w:t>Populaire Rives de Paris</w:t>
      </w:r>
      <w:r w:rsidR="003403EE" w:rsidRPr="004829F6">
        <w:rPr>
          <w:highlight w:val="yellow"/>
        </w:rPr>
        <w:br w:type="page"/>
      </w:r>
    </w:p>
    <w:p w14:paraId="06CE7723" w14:textId="0702E17A" w:rsidR="00E301A7" w:rsidRPr="004829F6" w:rsidRDefault="005525F2" w:rsidP="001246D2">
      <w:pPr>
        <w:pStyle w:val="NormalBold"/>
      </w:pPr>
      <w:sdt>
        <w:sdtPr>
          <w:id w:val="1710532197"/>
          <w14:checkbox>
            <w14:checked w14:val="0"/>
            <w14:checkedState w14:val="2612" w14:font="MS Gothic"/>
            <w14:uncheckedState w14:val="2610" w14:font="MS Gothic"/>
          </w14:checkbox>
        </w:sdtPr>
        <w:sdtEndPr/>
        <w:sdtContent>
          <w:r w:rsidR="00D20D77">
            <w:rPr>
              <w:rFonts w:ascii="MS Gothic" w:eastAsia="MS Gothic" w:hAnsi="MS Gothic" w:hint="eastAsia"/>
            </w:rPr>
            <w:t>☐</w:t>
          </w:r>
        </w:sdtContent>
      </w:sdt>
      <w:r w:rsidR="00E301A7" w:rsidRPr="004829F6">
        <w:t xml:space="preserve"> </w:t>
      </w:r>
      <w:r w:rsidR="005C64BD" w:rsidRPr="004829F6">
        <w:t>Nouveau</w:t>
      </w:r>
      <w:r w:rsidR="00E301A7" w:rsidRPr="004829F6">
        <w:t xml:space="preserve"> mandat</w:t>
      </w:r>
      <w:r w:rsidR="00E301A7" w:rsidRPr="004829F6">
        <w:tab/>
      </w:r>
      <w:r w:rsidR="00E301A7" w:rsidRPr="004829F6">
        <w:tab/>
      </w:r>
      <w:r w:rsidR="00E301A7" w:rsidRPr="004829F6">
        <w:tab/>
      </w:r>
      <w:r w:rsidR="00E301A7" w:rsidRPr="004829F6">
        <w:tab/>
      </w:r>
      <w:r w:rsidR="00E301A7" w:rsidRPr="004829F6">
        <w:tab/>
      </w:r>
      <w:r w:rsidR="00E301A7" w:rsidRPr="004829F6">
        <w:tab/>
      </w:r>
      <w:r w:rsidR="00E301A7" w:rsidRPr="004829F6">
        <w:tab/>
      </w:r>
      <w:sdt>
        <w:sdtPr>
          <w:id w:val="2068994924"/>
          <w14:checkbox>
            <w14:checked w14:val="0"/>
            <w14:checkedState w14:val="2612" w14:font="MS Gothic"/>
            <w14:uncheckedState w14:val="2610" w14:font="MS Gothic"/>
          </w14:checkbox>
        </w:sdtPr>
        <w:sdtEndPr/>
        <w:sdtContent>
          <w:r w:rsidR="00D20D77">
            <w:rPr>
              <w:rFonts w:ascii="MS Gothic" w:eastAsia="MS Gothic" w:hAnsi="MS Gothic" w:hint="eastAsia"/>
            </w:rPr>
            <w:t>☐</w:t>
          </w:r>
        </w:sdtContent>
      </w:sdt>
      <w:r w:rsidR="00E301A7" w:rsidRPr="004829F6">
        <w:t xml:space="preserve"> avenant</w:t>
      </w:r>
    </w:p>
    <w:p w14:paraId="6822BDB3" w14:textId="77777777" w:rsidR="00FF5179" w:rsidRPr="004829F6" w:rsidRDefault="00FF5179" w:rsidP="001246D2">
      <w:pPr>
        <w:pStyle w:val="NormalBold"/>
      </w:pPr>
    </w:p>
    <w:p w14:paraId="5E091D6B" w14:textId="32A293CD" w:rsidR="0091484A" w:rsidRPr="004829F6" w:rsidRDefault="0091484A" w:rsidP="001246D2">
      <w:pPr>
        <w:pStyle w:val="NormalBold"/>
      </w:pPr>
      <w:r w:rsidRPr="004829F6">
        <w:t xml:space="preserve">La présente convention est passée entre </w:t>
      </w:r>
      <w:r w:rsidR="00FA7C57" w:rsidRPr="004829F6">
        <w:t>les soussignés</w:t>
      </w:r>
      <w:r w:rsidRPr="004829F6">
        <w:t>(e)s</w:t>
      </w:r>
      <w:r w:rsidR="003403EE" w:rsidRPr="004829F6">
        <w:t> :</w:t>
      </w:r>
    </w:p>
    <w:tbl>
      <w:tblPr>
        <w:tblStyle w:val="Grilledutableau"/>
        <w:tblW w:w="0" w:type="auto"/>
        <w:jc w:val="center"/>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1847"/>
        <w:gridCol w:w="3386"/>
        <w:gridCol w:w="5233"/>
      </w:tblGrid>
      <w:tr w:rsidR="0091484A" w:rsidRPr="004829F6" w14:paraId="33617AEA" w14:textId="77777777" w:rsidTr="001246D2">
        <w:trPr>
          <w:jc w:val="center"/>
        </w:trPr>
        <w:tc>
          <w:tcPr>
            <w:tcW w:w="10466" w:type="dxa"/>
            <w:gridSpan w:val="3"/>
            <w:tcBorders>
              <w:top w:val="nil"/>
              <w:left w:val="nil"/>
              <w:bottom w:val="nil"/>
              <w:right w:val="nil"/>
            </w:tcBorders>
          </w:tcPr>
          <w:p w14:paraId="1EBA735B" w14:textId="77777777" w:rsidR="00334503" w:rsidRPr="004829F6" w:rsidRDefault="0091484A" w:rsidP="00334503">
            <w:pPr>
              <w:pStyle w:val="Titre1"/>
            </w:pPr>
            <w:r w:rsidRPr="004829F6">
              <w:t>Identification du ou des clients</w:t>
            </w:r>
          </w:p>
          <w:p w14:paraId="71E82998" w14:textId="18136E74" w:rsidR="00334503" w:rsidRPr="004829F6" w:rsidRDefault="00334503" w:rsidP="00334503">
            <w:pPr>
              <w:rPr>
                <w:b/>
              </w:rPr>
            </w:pPr>
            <w:r w:rsidRPr="004829F6">
              <w:rPr>
                <w:b/>
              </w:rPr>
              <w:t xml:space="preserve">PERSONNE(S) PHYSIQUE(S) : </w:t>
            </w:r>
          </w:p>
          <w:p w14:paraId="7290AD9E" w14:textId="77777777" w:rsidR="00334503" w:rsidRPr="004829F6" w:rsidRDefault="00334503" w:rsidP="00334503"/>
        </w:tc>
      </w:tr>
      <w:tr w:rsidR="001246D2" w:rsidRPr="004829F6" w14:paraId="59A43B10" w14:textId="77777777" w:rsidTr="001246D2">
        <w:trPr>
          <w:jc w:val="center"/>
        </w:trPr>
        <w:tc>
          <w:tcPr>
            <w:tcW w:w="1847" w:type="dxa"/>
            <w:tcBorders>
              <w:top w:val="nil"/>
              <w:left w:val="nil"/>
              <w:bottom w:val="nil"/>
              <w:right w:val="single" w:sz="4" w:space="0" w:color="auto"/>
            </w:tcBorders>
          </w:tcPr>
          <w:p w14:paraId="3DB527DE" w14:textId="77777777" w:rsidR="001246D2" w:rsidRPr="004829F6" w:rsidRDefault="001246D2" w:rsidP="00B73114">
            <w:pPr>
              <w:pStyle w:val="NormalTableau"/>
            </w:pPr>
            <w:r w:rsidRPr="004829F6">
              <w:t>Titulaire :</w:t>
            </w:r>
          </w:p>
        </w:tc>
        <w:tc>
          <w:tcPr>
            <w:tcW w:w="3386" w:type="dxa"/>
            <w:tcBorders>
              <w:top w:val="nil"/>
              <w:left w:val="single" w:sz="4" w:space="0" w:color="auto"/>
              <w:bottom w:val="nil"/>
            </w:tcBorders>
          </w:tcPr>
          <w:p w14:paraId="69C746B6" w14:textId="61BBDD84" w:rsidR="001246D2" w:rsidRPr="004829F6" w:rsidRDefault="005525F2" w:rsidP="00B73114">
            <w:pPr>
              <w:pStyle w:val="NormalTableau"/>
            </w:pPr>
            <w:sdt>
              <w:sdtPr>
                <w:id w:val="2046792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246D2" w:rsidRPr="004829F6">
              <w:t xml:space="preserve">M. </w:t>
            </w:r>
            <w:sdt>
              <w:sdtPr>
                <w:id w:val="1358229479"/>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1246D2" w:rsidRPr="004829F6">
              <w:t>Mme</w:t>
            </w:r>
          </w:p>
        </w:tc>
        <w:tc>
          <w:tcPr>
            <w:tcW w:w="5233" w:type="dxa"/>
            <w:tcBorders>
              <w:top w:val="nil"/>
              <w:bottom w:val="nil"/>
              <w:right w:val="nil"/>
            </w:tcBorders>
          </w:tcPr>
          <w:p w14:paraId="1CF0B6DF" w14:textId="48B85C6B" w:rsidR="001246D2" w:rsidRPr="004829F6" w:rsidRDefault="001246D2" w:rsidP="00720D52">
            <w:r w:rsidRPr="004829F6">
              <w:t>Matricule :</w:t>
            </w:r>
            <w:r w:rsidR="00720D52">
              <w:t xml:space="preserve"> </w:t>
            </w:r>
            <w:r w:rsidR="00720D52">
              <w:rPr>
                <w:szCs w:val="18"/>
              </w:rPr>
              <w:fldChar w:fldCharType="begin">
                <w:ffData>
                  <w:name w:val="Texte1"/>
                  <w:enabled/>
                  <w:calcOnExit w:val="0"/>
                  <w:textInput/>
                </w:ffData>
              </w:fldChar>
            </w:r>
            <w:r w:rsidR="00720D52">
              <w:rPr>
                <w:szCs w:val="18"/>
              </w:rPr>
              <w:instrText xml:space="preserve"> FORMTEXT </w:instrText>
            </w:r>
            <w:r w:rsidR="00720D52">
              <w:rPr>
                <w:szCs w:val="18"/>
              </w:rPr>
            </w:r>
            <w:r w:rsidR="00720D52">
              <w:rPr>
                <w:szCs w:val="18"/>
              </w:rPr>
              <w:fldChar w:fldCharType="separate"/>
            </w:r>
            <w:r w:rsidR="00720D52">
              <w:rPr>
                <w:noProof/>
                <w:szCs w:val="18"/>
              </w:rPr>
              <w:t> </w:t>
            </w:r>
            <w:r w:rsidR="00720D52">
              <w:rPr>
                <w:noProof/>
                <w:szCs w:val="18"/>
              </w:rPr>
              <w:t> </w:t>
            </w:r>
            <w:r w:rsidR="00720D52">
              <w:rPr>
                <w:noProof/>
                <w:szCs w:val="18"/>
              </w:rPr>
              <w:t> </w:t>
            </w:r>
            <w:r w:rsidR="00720D52">
              <w:rPr>
                <w:noProof/>
                <w:szCs w:val="18"/>
              </w:rPr>
              <w:t> </w:t>
            </w:r>
            <w:r w:rsidR="00720D52">
              <w:rPr>
                <w:noProof/>
                <w:szCs w:val="18"/>
              </w:rPr>
              <w:t> </w:t>
            </w:r>
            <w:r w:rsidR="00720D52">
              <w:rPr>
                <w:szCs w:val="18"/>
              </w:rPr>
              <w:fldChar w:fldCharType="end"/>
            </w:r>
          </w:p>
        </w:tc>
      </w:tr>
      <w:tr w:rsidR="001246D2" w:rsidRPr="004829F6" w14:paraId="6BEFFFBC" w14:textId="77777777" w:rsidTr="001246D2">
        <w:trPr>
          <w:jc w:val="center"/>
        </w:trPr>
        <w:tc>
          <w:tcPr>
            <w:tcW w:w="1847" w:type="dxa"/>
            <w:tcBorders>
              <w:top w:val="nil"/>
              <w:left w:val="nil"/>
              <w:bottom w:val="nil"/>
              <w:right w:val="single" w:sz="4" w:space="0" w:color="auto"/>
            </w:tcBorders>
          </w:tcPr>
          <w:p w14:paraId="0C7ABB8B" w14:textId="77777777" w:rsidR="001246D2" w:rsidRPr="004829F6" w:rsidRDefault="001246D2" w:rsidP="00B73114">
            <w:pPr>
              <w:pStyle w:val="NormalTableau"/>
            </w:pPr>
            <w:r w:rsidRPr="004829F6">
              <w:t>Nom :</w:t>
            </w:r>
          </w:p>
        </w:tc>
        <w:tc>
          <w:tcPr>
            <w:tcW w:w="3386" w:type="dxa"/>
            <w:tcBorders>
              <w:top w:val="nil"/>
              <w:left w:val="single" w:sz="4" w:space="0" w:color="auto"/>
              <w:bottom w:val="nil"/>
            </w:tcBorders>
          </w:tcPr>
          <w:p w14:paraId="5B797818" w14:textId="18AD38F8" w:rsidR="001246D2" w:rsidRPr="004829F6" w:rsidRDefault="00720D52" w:rsidP="00720D52">
            <w:r>
              <w:rPr>
                <w:szCs w:val="18"/>
              </w:rPr>
              <w:fldChar w:fldCharType="begin">
                <w:ffData>
                  <w:name w:val="Texte1"/>
                  <w:enabled/>
                  <w:calcOnExit w:val="0"/>
                  <w:textInput/>
                </w:ffData>
              </w:fldChar>
            </w:r>
            <w:bookmarkStart w:id="0" w:name="Texte1"/>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0"/>
          </w:p>
        </w:tc>
        <w:tc>
          <w:tcPr>
            <w:tcW w:w="5233" w:type="dxa"/>
            <w:tcBorders>
              <w:top w:val="nil"/>
              <w:bottom w:val="nil"/>
              <w:right w:val="nil"/>
            </w:tcBorders>
          </w:tcPr>
          <w:p w14:paraId="5E011E30" w14:textId="63BE5AC6" w:rsidR="001246D2" w:rsidRPr="004829F6" w:rsidRDefault="001246D2" w:rsidP="00720D52">
            <w:r w:rsidRPr="004829F6">
              <w:t>Prénom :</w:t>
            </w:r>
            <w:r w:rsidR="00720D52">
              <w:t xml:space="preserve"> </w:t>
            </w:r>
            <w:r w:rsidR="00720D52">
              <w:rPr>
                <w:szCs w:val="18"/>
              </w:rPr>
              <w:fldChar w:fldCharType="begin">
                <w:ffData>
                  <w:name w:val="Texte1"/>
                  <w:enabled/>
                  <w:calcOnExit w:val="0"/>
                  <w:textInput/>
                </w:ffData>
              </w:fldChar>
            </w:r>
            <w:r w:rsidR="00720D52">
              <w:rPr>
                <w:szCs w:val="18"/>
              </w:rPr>
              <w:instrText xml:space="preserve"> FORMTEXT </w:instrText>
            </w:r>
            <w:r w:rsidR="00720D52">
              <w:rPr>
                <w:szCs w:val="18"/>
              </w:rPr>
            </w:r>
            <w:r w:rsidR="00720D52">
              <w:rPr>
                <w:szCs w:val="18"/>
              </w:rPr>
              <w:fldChar w:fldCharType="separate"/>
            </w:r>
            <w:r w:rsidR="00720D52">
              <w:rPr>
                <w:noProof/>
                <w:szCs w:val="18"/>
              </w:rPr>
              <w:t> </w:t>
            </w:r>
            <w:r w:rsidR="00720D52">
              <w:rPr>
                <w:noProof/>
                <w:szCs w:val="18"/>
              </w:rPr>
              <w:t> </w:t>
            </w:r>
            <w:r w:rsidR="00720D52">
              <w:rPr>
                <w:noProof/>
                <w:szCs w:val="18"/>
              </w:rPr>
              <w:t> </w:t>
            </w:r>
            <w:r w:rsidR="00720D52">
              <w:rPr>
                <w:noProof/>
                <w:szCs w:val="18"/>
              </w:rPr>
              <w:t> </w:t>
            </w:r>
            <w:r w:rsidR="00720D52">
              <w:rPr>
                <w:noProof/>
                <w:szCs w:val="18"/>
              </w:rPr>
              <w:t> </w:t>
            </w:r>
            <w:r w:rsidR="00720D52">
              <w:rPr>
                <w:szCs w:val="18"/>
              </w:rPr>
              <w:fldChar w:fldCharType="end"/>
            </w:r>
          </w:p>
        </w:tc>
      </w:tr>
      <w:tr w:rsidR="001246D2" w:rsidRPr="004829F6" w14:paraId="146CC112" w14:textId="77777777" w:rsidTr="001246D2">
        <w:trPr>
          <w:jc w:val="center"/>
        </w:trPr>
        <w:tc>
          <w:tcPr>
            <w:tcW w:w="1847" w:type="dxa"/>
            <w:tcBorders>
              <w:top w:val="nil"/>
              <w:left w:val="nil"/>
              <w:bottom w:val="nil"/>
              <w:right w:val="single" w:sz="4" w:space="0" w:color="auto"/>
            </w:tcBorders>
          </w:tcPr>
          <w:p w14:paraId="7132C981" w14:textId="77777777" w:rsidR="001246D2" w:rsidRPr="004829F6" w:rsidRDefault="001246D2" w:rsidP="00B73114">
            <w:pPr>
              <w:pStyle w:val="NormalTableau"/>
            </w:pPr>
            <w:r w:rsidRPr="004829F6">
              <w:t>Profession exercée :</w:t>
            </w:r>
          </w:p>
        </w:tc>
        <w:tc>
          <w:tcPr>
            <w:tcW w:w="8619" w:type="dxa"/>
            <w:gridSpan w:val="2"/>
            <w:tcBorders>
              <w:top w:val="nil"/>
              <w:left w:val="single" w:sz="4" w:space="0" w:color="auto"/>
              <w:bottom w:val="nil"/>
              <w:right w:val="nil"/>
            </w:tcBorders>
          </w:tcPr>
          <w:p w14:paraId="44693D98" w14:textId="1B2DD7B1" w:rsidR="001246D2" w:rsidRPr="004829F6" w:rsidRDefault="00720D52" w:rsidP="00720D52">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1246D2" w:rsidRPr="004829F6" w14:paraId="286C59AB" w14:textId="77777777" w:rsidTr="001246D2">
        <w:trPr>
          <w:jc w:val="center"/>
        </w:trPr>
        <w:tc>
          <w:tcPr>
            <w:tcW w:w="1847" w:type="dxa"/>
            <w:tcBorders>
              <w:top w:val="nil"/>
              <w:left w:val="nil"/>
              <w:bottom w:val="nil"/>
              <w:right w:val="single" w:sz="4" w:space="0" w:color="auto"/>
            </w:tcBorders>
          </w:tcPr>
          <w:p w14:paraId="2B3782A4" w14:textId="77777777" w:rsidR="001246D2" w:rsidRPr="004829F6" w:rsidRDefault="001246D2" w:rsidP="00B73114">
            <w:pPr>
              <w:pStyle w:val="NormalTableau"/>
            </w:pPr>
            <w:r w:rsidRPr="004829F6">
              <w:t>Date de naissance :</w:t>
            </w:r>
          </w:p>
        </w:tc>
        <w:tc>
          <w:tcPr>
            <w:tcW w:w="3386" w:type="dxa"/>
            <w:tcBorders>
              <w:top w:val="nil"/>
              <w:left w:val="single" w:sz="4" w:space="0" w:color="auto"/>
              <w:bottom w:val="nil"/>
            </w:tcBorders>
          </w:tcPr>
          <w:p w14:paraId="0B9BA2C6" w14:textId="697371E3" w:rsidR="001246D2" w:rsidRPr="004829F6" w:rsidRDefault="00720D52" w:rsidP="00720D52">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233" w:type="dxa"/>
            <w:tcBorders>
              <w:top w:val="nil"/>
              <w:bottom w:val="nil"/>
              <w:right w:val="nil"/>
            </w:tcBorders>
          </w:tcPr>
          <w:p w14:paraId="6CC04D8F" w14:textId="0CE5030F" w:rsidR="001246D2" w:rsidRPr="004829F6" w:rsidRDefault="001246D2" w:rsidP="00720D52">
            <w:r w:rsidRPr="004829F6">
              <w:t>Lieu de naissance :</w:t>
            </w:r>
            <w:r w:rsidR="00720D52">
              <w:t xml:space="preserve"> </w:t>
            </w:r>
            <w:r w:rsidR="00720D52">
              <w:rPr>
                <w:szCs w:val="18"/>
              </w:rPr>
              <w:fldChar w:fldCharType="begin">
                <w:ffData>
                  <w:name w:val="Texte1"/>
                  <w:enabled/>
                  <w:calcOnExit w:val="0"/>
                  <w:textInput/>
                </w:ffData>
              </w:fldChar>
            </w:r>
            <w:r w:rsidR="00720D52">
              <w:rPr>
                <w:szCs w:val="18"/>
              </w:rPr>
              <w:instrText xml:space="preserve"> FORMTEXT </w:instrText>
            </w:r>
            <w:r w:rsidR="00720D52">
              <w:rPr>
                <w:szCs w:val="18"/>
              </w:rPr>
            </w:r>
            <w:r w:rsidR="00720D52">
              <w:rPr>
                <w:szCs w:val="18"/>
              </w:rPr>
              <w:fldChar w:fldCharType="separate"/>
            </w:r>
            <w:r w:rsidR="00720D52">
              <w:rPr>
                <w:noProof/>
                <w:szCs w:val="18"/>
              </w:rPr>
              <w:t> </w:t>
            </w:r>
            <w:r w:rsidR="00720D52">
              <w:rPr>
                <w:noProof/>
                <w:szCs w:val="18"/>
              </w:rPr>
              <w:t> </w:t>
            </w:r>
            <w:r w:rsidR="00720D52">
              <w:rPr>
                <w:noProof/>
                <w:szCs w:val="18"/>
              </w:rPr>
              <w:t> </w:t>
            </w:r>
            <w:r w:rsidR="00720D52">
              <w:rPr>
                <w:noProof/>
                <w:szCs w:val="18"/>
              </w:rPr>
              <w:t> </w:t>
            </w:r>
            <w:r w:rsidR="00720D52">
              <w:rPr>
                <w:noProof/>
                <w:szCs w:val="18"/>
              </w:rPr>
              <w:t> </w:t>
            </w:r>
            <w:r w:rsidR="00720D52">
              <w:rPr>
                <w:szCs w:val="18"/>
              </w:rPr>
              <w:fldChar w:fldCharType="end"/>
            </w:r>
          </w:p>
        </w:tc>
      </w:tr>
      <w:tr w:rsidR="0091484A" w:rsidRPr="004829F6" w14:paraId="46A4BCC1" w14:textId="77777777" w:rsidTr="001246D2">
        <w:trPr>
          <w:jc w:val="center"/>
        </w:trPr>
        <w:tc>
          <w:tcPr>
            <w:tcW w:w="1847" w:type="dxa"/>
            <w:tcBorders>
              <w:top w:val="nil"/>
              <w:left w:val="nil"/>
              <w:bottom w:val="nil"/>
              <w:right w:val="single" w:sz="4" w:space="0" w:color="auto"/>
            </w:tcBorders>
          </w:tcPr>
          <w:p w14:paraId="5FB8AC31" w14:textId="77777777" w:rsidR="0091484A" w:rsidRPr="004829F6" w:rsidRDefault="0091484A" w:rsidP="00B73114">
            <w:pPr>
              <w:pStyle w:val="NormalTableau"/>
            </w:pPr>
            <w:r w:rsidRPr="004829F6">
              <w:t>Situation de famille :</w:t>
            </w:r>
          </w:p>
        </w:tc>
        <w:tc>
          <w:tcPr>
            <w:tcW w:w="8619" w:type="dxa"/>
            <w:gridSpan w:val="2"/>
            <w:tcBorders>
              <w:top w:val="nil"/>
              <w:left w:val="single" w:sz="4" w:space="0" w:color="auto"/>
              <w:bottom w:val="nil"/>
              <w:right w:val="nil"/>
            </w:tcBorders>
          </w:tcPr>
          <w:p w14:paraId="4AB2C10C" w14:textId="6AB2D674" w:rsidR="0091484A" w:rsidRPr="004829F6" w:rsidRDefault="005525F2" w:rsidP="00FA2FB8">
            <w:pPr>
              <w:pStyle w:val="NormalTableau"/>
            </w:pPr>
            <w:sdt>
              <w:sdtPr>
                <w:id w:val="876900160"/>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91484A" w:rsidRPr="004829F6">
              <w:t xml:space="preserve">Célibataire </w:t>
            </w:r>
            <w:sdt>
              <w:sdtPr>
                <w:id w:val="227801422"/>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91484A" w:rsidRPr="004829F6">
              <w:t xml:space="preserve">Marié(e) </w:t>
            </w:r>
            <w:sdt>
              <w:sdtPr>
                <w:id w:val="-1741007688"/>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91484A" w:rsidRPr="004829F6">
              <w:t xml:space="preserve">Veuf(ve) </w:t>
            </w:r>
            <w:sdt>
              <w:sdtPr>
                <w:id w:val="2072299364"/>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91484A" w:rsidRPr="004829F6">
              <w:t>Séparé(e)</w:t>
            </w:r>
            <w:r w:rsidR="001246D2" w:rsidRPr="004829F6">
              <w:t xml:space="preserve"> de corps</w:t>
            </w:r>
            <w:r w:rsidR="0091484A" w:rsidRPr="004829F6">
              <w:t xml:space="preserve"> </w:t>
            </w:r>
            <w:sdt>
              <w:sdtPr>
                <w:id w:val="-1392639404"/>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1246D2" w:rsidRPr="004829F6">
              <w:t xml:space="preserve">Divorcé(e) </w:t>
            </w:r>
            <w:sdt>
              <w:sdtPr>
                <w:id w:val="-1901974950"/>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1246D2" w:rsidRPr="004829F6">
              <w:t>Union libre</w:t>
            </w:r>
            <w:r w:rsidR="00FA2FB8" w:rsidRPr="004829F6">
              <w:t xml:space="preserve"> </w:t>
            </w:r>
            <w:sdt>
              <w:sdtPr>
                <w:id w:val="812678960"/>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FA2FB8" w:rsidRPr="004829F6">
              <w:t xml:space="preserve"> Pacsé</w:t>
            </w:r>
          </w:p>
        </w:tc>
      </w:tr>
      <w:tr w:rsidR="001246D2" w:rsidRPr="004829F6" w14:paraId="1B4AF229" w14:textId="77777777" w:rsidTr="001246D2">
        <w:trPr>
          <w:jc w:val="center"/>
        </w:trPr>
        <w:tc>
          <w:tcPr>
            <w:tcW w:w="1847" w:type="dxa"/>
            <w:tcBorders>
              <w:top w:val="nil"/>
              <w:left w:val="nil"/>
              <w:bottom w:val="nil"/>
              <w:right w:val="single" w:sz="4" w:space="0" w:color="auto"/>
            </w:tcBorders>
          </w:tcPr>
          <w:p w14:paraId="38EA1852" w14:textId="77777777" w:rsidR="001246D2" w:rsidRPr="004829F6" w:rsidRDefault="001246D2" w:rsidP="00B73114">
            <w:pPr>
              <w:pStyle w:val="NormalTableau"/>
            </w:pPr>
            <w:r w:rsidRPr="004829F6">
              <w:t>Régime matrimonial :</w:t>
            </w:r>
          </w:p>
        </w:tc>
        <w:tc>
          <w:tcPr>
            <w:tcW w:w="8619" w:type="dxa"/>
            <w:gridSpan w:val="2"/>
            <w:tcBorders>
              <w:top w:val="nil"/>
              <w:left w:val="single" w:sz="4" w:space="0" w:color="auto"/>
              <w:bottom w:val="nil"/>
              <w:right w:val="nil"/>
            </w:tcBorders>
          </w:tcPr>
          <w:p w14:paraId="21FD5A83" w14:textId="40029B5F" w:rsidR="001246D2" w:rsidRPr="004829F6" w:rsidRDefault="005525F2" w:rsidP="007C0704">
            <w:pPr>
              <w:pStyle w:val="NormalTableau"/>
            </w:pPr>
            <w:sdt>
              <w:sdtPr>
                <w:id w:val="-1950770538"/>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FA2FB8" w:rsidRPr="004829F6">
              <w:t xml:space="preserve"> Communauté légale réduite aux acquêts </w:t>
            </w:r>
            <w:sdt>
              <w:sdtPr>
                <w:id w:val="864330255"/>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7C0704" w:rsidRPr="004829F6">
              <w:t xml:space="preserve"> Séparation de biens </w:t>
            </w:r>
            <w:sdt>
              <w:sdtPr>
                <w:id w:val="809833227"/>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7C0704" w:rsidRPr="004829F6">
              <w:t xml:space="preserve">Communauté universelle </w:t>
            </w:r>
          </w:p>
          <w:p w14:paraId="07B3E453" w14:textId="3053AB95" w:rsidR="007C0704" w:rsidRPr="004829F6" w:rsidRDefault="005525F2" w:rsidP="007C0704">
            <w:pPr>
              <w:pStyle w:val="NormalTableau"/>
            </w:pPr>
            <w:sdt>
              <w:sdtPr>
                <w:id w:val="1902481178"/>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7C0704" w:rsidRPr="004829F6">
              <w:t xml:space="preserve"> Participation aux acquêts </w:t>
            </w:r>
            <w:sdt>
              <w:sdtPr>
                <w:id w:val="1417290208"/>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7C0704" w:rsidRPr="004829F6">
              <w:t xml:space="preserve"> Pacte civil de solidarité PACS </w:t>
            </w:r>
          </w:p>
        </w:tc>
      </w:tr>
      <w:tr w:rsidR="001246D2" w:rsidRPr="004829F6" w14:paraId="0AECD635" w14:textId="77777777" w:rsidTr="001246D2">
        <w:trPr>
          <w:jc w:val="center"/>
        </w:trPr>
        <w:tc>
          <w:tcPr>
            <w:tcW w:w="1847" w:type="dxa"/>
            <w:tcBorders>
              <w:top w:val="nil"/>
              <w:left w:val="nil"/>
              <w:bottom w:val="nil"/>
              <w:right w:val="single" w:sz="4" w:space="0" w:color="auto"/>
            </w:tcBorders>
          </w:tcPr>
          <w:p w14:paraId="3C81277D" w14:textId="0F861FCC" w:rsidR="001246D2" w:rsidRPr="004829F6" w:rsidRDefault="001246D2" w:rsidP="00B73114">
            <w:pPr>
              <w:pStyle w:val="NormalTableau"/>
            </w:pPr>
            <w:r w:rsidRPr="004829F6">
              <w:t>Nombre d’enfants :</w:t>
            </w:r>
          </w:p>
          <w:p w14:paraId="28469131" w14:textId="50E7EFA5" w:rsidR="00FA6456" w:rsidRPr="004829F6" w:rsidRDefault="00FA6456" w:rsidP="00B73114">
            <w:pPr>
              <w:pStyle w:val="NormalTableau"/>
            </w:pPr>
            <w:r w:rsidRPr="004829F6">
              <w:t>e-mail :</w:t>
            </w:r>
          </w:p>
          <w:p w14:paraId="6CE16DAC" w14:textId="74497A06" w:rsidR="00FA7C57" w:rsidRPr="004829F6" w:rsidRDefault="00FA7C57" w:rsidP="00B73114">
            <w:pPr>
              <w:pStyle w:val="NormalTableau"/>
            </w:pPr>
            <w:r w:rsidRPr="004829F6">
              <w:t>Tél :</w:t>
            </w:r>
          </w:p>
          <w:p w14:paraId="15EE0691" w14:textId="035B2640" w:rsidR="00610CF9" w:rsidRPr="004829F6" w:rsidRDefault="00610CF9" w:rsidP="00B73114">
            <w:pPr>
              <w:pStyle w:val="NormalTableau"/>
            </w:pPr>
            <w:r w:rsidRPr="004829F6">
              <w:t>Nationalité</w:t>
            </w:r>
          </w:p>
          <w:p w14:paraId="2538D69A" w14:textId="41076CC1" w:rsidR="00610CF9" w:rsidRPr="004829F6" w:rsidRDefault="00610CF9" w:rsidP="00B73114">
            <w:pPr>
              <w:pStyle w:val="NormalTableau"/>
            </w:pPr>
            <w:r w:rsidRPr="004829F6">
              <w:t xml:space="preserve">Résidence </w:t>
            </w:r>
            <w:r w:rsidR="005519D8" w:rsidRPr="004829F6">
              <w:t xml:space="preserve">fiscale déclarée </w:t>
            </w:r>
          </w:p>
        </w:tc>
        <w:tc>
          <w:tcPr>
            <w:tcW w:w="3386" w:type="dxa"/>
            <w:tcBorders>
              <w:top w:val="nil"/>
              <w:left w:val="single" w:sz="4" w:space="0" w:color="auto"/>
              <w:bottom w:val="nil"/>
            </w:tcBorders>
          </w:tcPr>
          <w:p w14:paraId="19AD0275" w14:textId="77777777" w:rsidR="00720D52" w:rsidRPr="002E47A2" w:rsidRDefault="00720D52" w:rsidP="00720D52">
            <w:pPr>
              <w:rPr>
                <w:rFonts w:cs="Arial"/>
                <w:noProof/>
              </w:rPr>
            </w:pPr>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71E9D0AE" w14:textId="77777777" w:rsidR="00720D52" w:rsidRPr="002E47A2" w:rsidRDefault="00720D52" w:rsidP="00720D52">
            <w:pPr>
              <w:rPr>
                <w:rFonts w:cs="Arial"/>
                <w:noProof/>
              </w:rPr>
            </w:pPr>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406F611D" w14:textId="77777777" w:rsidR="00720D52" w:rsidRPr="002E47A2" w:rsidRDefault="00720D52" w:rsidP="00720D52">
            <w:pPr>
              <w:rPr>
                <w:rFonts w:cs="Arial"/>
                <w:noProof/>
              </w:rPr>
            </w:pPr>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390B7488" w14:textId="77777777" w:rsidR="00720D52" w:rsidRPr="002E47A2" w:rsidRDefault="00720D52" w:rsidP="00720D52">
            <w:pPr>
              <w:rPr>
                <w:rFonts w:cs="Arial"/>
                <w:noProof/>
              </w:rPr>
            </w:pPr>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52E32AC3" w14:textId="0C0C0FFF" w:rsidR="001246D2" w:rsidRPr="004829F6" w:rsidRDefault="00720D52" w:rsidP="00720D52">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108DA545" w14:textId="77777777" w:rsidR="00D45D58" w:rsidRPr="004829F6" w:rsidRDefault="00D45D58" w:rsidP="00B73114">
            <w:pPr>
              <w:pStyle w:val="NormalTableau"/>
            </w:pPr>
          </w:p>
        </w:tc>
        <w:tc>
          <w:tcPr>
            <w:tcW w:w="5233" w:type="dxa"/>
            <w:tcBorders>
              <w:top w:val="nil"/>
              <w:bottom w:val="nil"/>
              <w:right w:val="nil"/>
            </w:tcBorders>
          </w:tcPr>
          <w:p w14:paraId="52CDDDC2" w14:textId="77777777" w:rsidR="00720D52" w:rsidRPr="002E47A2" w:rsidRDefault="001246D2" w:rsidP="00720D52">
            <w:pPr>
              <w:rPr>
                <w:rFonts w:cs="Arial"/>
                <w:noProof/>
              </w:rPr>
            </w:pPr>
            <w:r w:rsidRPr="004829F6">
              <w:t>Dont à charge :</w:t>
            </w:r>
            <w:r w:rsidR="00720D52">
              <w:t xml:space="preserve"> </w:t>
            </w:r>
            <w:r w:rsidR="00720D52">
              <w:rPr>
                <w:szCs w:val="18"/>
              </w:rPr>
              <w:fldChar w:fldCharType="begin">
                <w:ffData>
                  <w:name w:val="Texte1"/>
                  <w:enabled/>
                  <w:calcOnExit w:val="0"/>
                  <w:textInput/>
                </w:ffData>
              </w:fldChar>
            </w:r>
            <w:r w:rsidR="00720D52">
              <w:rPr>
                <w:szCs w:val="18"/>
              </w:rPr>
              <w:instrText xml:space="preserve"> FORMTEXT </w:instrText>
            </w:r>
            <w:r w:rsidR="00720D52">
              <w:rPr>
                <w:szCs w:val="18"/>
              </w:rPr>
            </w:r>
            <w:r w:rsidR="00720D52">
              <w:rPr>
                <w:szCs w:val="18"/>
              </w:rPr>
              <w:fldChar w:fldCharType="separate"/>
            </w:r>
            <w:r w:rsidR="00720D52">
              <w:rPr>
                <w:noProof/>
                <w:szCs w:val="18"/>
              </w:rPr>
              <w:t> </w:t>
            </w:r>
            <w:r w:rsidR="00720D52">
              <w:rPr>
                <w:noProof/>
                <w:szCs w:val="18"/>
              </w:rPr>
              <w:t> </w:t>
            </w:r>
            <w:r w:rsidR="00720D52">
              <w:rPr>
                <w:noProof/>
                <w:szCs w:val="18"/>
              </w:rPr>
              <w:t> </w:t>
            </w:r>
            <w:r w:rsidR="00720D52">
              <w:rPr>
                <w:noProof/>
                <w:szCs w:val="18"/>
              </w:rPr>
              <w:t> </w:t>
            </w:r>
            <w:r w:rsidR="00720D52">
              <w:rPr>
                <w:noProof/>
                <w:szCs w:val="18"/>
              </w:rPr>
              <w:t> </w:t>
            </w:r>
            <w:r w:rsidR="00720D52">
              <w:rPr>
                <w:szCs w:val="18"/>
              </w:rPr>
              <w:fldChar w:fldCharType="end"/>
            </w:r>
          </w:p>
          <w:p w14:paraId="391AC422" w14:textId="3EC12E6C" w:rsidR="001246D2" w:rsidRPr="004829F6" w:rsidRDefault="001246D2" w:rsidP="00B73114">
            <w:pPr>
              <w:pStyle w:val="NormalTableau"/>
            </w:pPr>
          </w:p>
          <w:p w14:paraId="2509FAF2" w14:textId="24A1EA7E" w:rsidR="00D45D58" w:rsidRPr="004829F6" w:rsidRDefault="00D45D58" w:rsidP="001222DA">
            <w:pPr>
              <w:pStyle w:val="NormalTableau"/>
            </w:pPr>
          </w:p>
        </w:tc>
      </w:tr>
      <w:tr w:rsidR="001246D2" w:rsidRPr="004829F6" w14:paraId="19123BB2" w14:textId="77777777" w:rsidTr="001246D2">
        <w:trPr>
          <w:trHeight w:val="571"/>
          <w:jc w:val="center"/>
        </w:trPr>
        <w:tc>
          <w:tcPr>
            <w:tcW w:w="10466" w:type="dxa"/>
            <w:gridSpan w:val="3"/>
            <w:tcBorders>
              <w:top w:val="nil"/>
              <w:left w:val="nil"/>
              <w:bottom w:val="nil"/>
              <w:right w:val="nil"/>
            </w:tcBorders>
            <w:vAlign w:val="center"/>
          </w:tcPr>
          <w:p w14:paraId="3AE25CE3" w14:textId="206DC2A0" w:rsidR="001246D2" w:rsidRPr="004829F6" w:rsidRDefault="001246D2" w:rsidP="00B73114">
            <w:pPr>
              <w:pStyle w:val="NormalTableau"/>
            </w:pPr>
            <w:r w:rsidRPr="004829F6">
              <w:t>En cas de compte joint </w:t>
            </w:r>
            <w:r w:rsidR="00610CF9" w:rsidRPr="004829F6">
              <w:t xml:space="preserve">ou de compte démembré </w:t>
            </w:r>
            <w:r w:rsidRPr="004829F6">
              <w:t>:</w:t>
            </w:r>
          </w:p>
        </w:tc>
      </w:tr>
      <w:tr w:rsidR="001246D2" w:rsidRPr="004829F6" w14:paraId="286A0D3E" w14:textId="77777777" w:rsidTr="001246D2">
        <w:trPr>
          <w:jc w:val="center"/>
        </w:trPr>
        <w:tc>
          <w:tcPr>
            <w:tcW w:w="1847" w:type="dxa"/>
            <w:tcBorders>
              <w:top w:val="nil"/>
              <w:left w:val="nil"/>
              <w:bottom w:val="nil"/>
              <w:right w:val="single" w:sz="4" w:space="0" w:color="auto"/>
            </w:tcBorders>
          </w:tcPr>
          <w:p w14:paraId="6B88DD39" w14:textId="77777777" w:rsidR="001246D2" w:rsidRPr="004829F6" w:rsidRDefault="001246D2" w:rsidP="00B73114">
            <w:pPr>
              <w:pStyle w:val="NormalTableau"/>
            </w:pPr>
            <w:r w:rsidRPr="004829F6">
              <w:t>Co-titulaire :</w:t>
            </w:r>
          </w:p>
        </w:tc>
        <w:tc>
          <w:tcPr>
            <w:tcW w:w="3386" w:type="dxa"/>
            <w:tcBorders>
              <w:top w:val="nil"/>
              <w:left w:val="single" w:sz="4" w:space="0" w:color="auto"/>
              <w:bottom w:val="nil"/>
            </w:tcBorders>
          </w:tcPr>
          <w:p w14:paraId="7C9BD16F" w14:textId="13F7C469" w:rsidR="001246D2" w:rsidRPr="004829F6" w:rsidRDefault="005525F2" w:rsidP="00B73114">
            <w:pPr>
              <w:pStyle w:val="NormalTableau"/>
            </w:pPr>
            <w:sdt>
              <w:sdtPr>
                <w:id w:val="-479764241"/>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1246D2" w:rsidRPr="004829F6">
              <w:t xml:space="preserve">M. </w:t>
            </w:r>
            <w:sdt>
              <w:sdtPr>
                <w:id w:val="-90932895"/>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1246D2" w:rsidRPr="004829F6">
              <w:t>Mme</w:t>
            </w:r>
          </w:p>
        </w:tc>
        <w:tc>
          <w:tcPr>
            <w:tcW w:w="5233" w:type="dxa"/>
            <w:tcBorders>
              <w:top w:val="nil"/>
              <w:bottom w:val="nil"/>
              <w:right w:val="nil"/>
            </w:tcBorders>
          </w:tcPr>
          <w:p w14:paraId="00BE87BD" w14:textId="70A13031" w:rsidR="001246D2" w:rsidRPr="004829F6" w:rsidRDefault="001246D2" w:rsidP="00720D52">
            <w:r w:rsidRPr="004829F6">
              <w:t>Matricule :</w:t>
            </w:r>
            <w:r w:rsidR="00720D52">
              <w:t xml:space="preserve"> </w:t>
            </w:r>
            <w:r w:rsidR="00720D52">
              <w:rPr>
                <w:szCs w:val="18"/>
              </w:rPr>
              <w:fldChar w:fldCharType="begin">
                <w:ffData>
                  <w:name w:val="Texte1"/>
                  <w:enabled/>
                  <w:calcOnExit w:val="0"/>
                  <w:textInput/>
                </w:ffData>
              </w:fldChar>
            </w:r>
            <w:r w:rsidR="00720D52">
              <w:rPr>
                <w:szCs w:val="18"/>
              </w:rPr>
              <w:instrText xml:space="preserve"> FORMTEXT </w:instrText>
            </w:r>
            <w:r w:rsidR="00720D52">
              <w:rPr>
                <w:szCs w:val="18"/>
              </w:rPr>
            </w:r>
            <w:r w:rsidR="00720D52">
              <w:rPr>
                <w:szCs w:val="18"/>
              </w:rPr>
              <w:fldChar w:fldCharType="separate"/>
            </w:r>
            <w:r w:rsidR="00720D52">
              <w:rPr>
                <w:noProof/>
                <w:szCs w:val="18"/>
              </w:rPr>
              <w:t> </w:t>
            </w:r>
            <w:r w:rsidR="00720D52">
              <w:rPr>
                <w:noProof/>
                <w:szCs w:val="18"/>
              </w:rPr>
              <w:t> </w:t>
            </w:r>
            <w:r w:rsidR="00720D52">
              <w:rPr>
                <w:noProof/>
                <w:szCs w:val="18"/>
              </w:rPr>
              <w:t> </w:t>
            </w:r>
            <w:r w:rsidR="00720D52">
              <w:rPr>
                <w:noProof/>
                <w:szCs w:val="18"/>
              </w:rPr>
              <w:t> </w:t>
            </w:r>
            <w:r w:rsidR="00720D52">
              <w:rPr>
                <w:noProof/>
                <w:szCs w:val="18"/>
              </w:rPr>
              <w:t> </w:t>
            </w:r>
            <w:r w:rsidR="00720D52">
              <w:rPr>
                <w:szCs w:val="18"/>
              </w:rPr>
              <w:fldChar w:fldCharType="end"/>
            </w:r>
          </w:p>
        </w:tc>
      </w:tr>
      <w:tr w:rsidR="001246D2" w:rsidRPr="004829F6" w14:paraId="103E2057" w14:textId="77777777" w:rsidTr="001246D2">
        <w:trPr>
          <w:jc w:val="center"/>
        </w:trPr>
        <w:tc>
          <w:tcPr>
            <w:tcW w:w="1847" w:type="dxa"/>
            <w:tcBorders>
              <w:top w:val="nil"/>
              <w:left w:val="nil"/>
              <w:bottom w:val="nil"/>
              <w:right w:val="single" w:sz="4" w:space="0" w:color="auto"/>
            </w:tcBorders>
          </w:tcPr>
          <w:p w14:paraId="078AC41E" w14:textId="77777777" w:rsidR="001246D2" w:rsidRPr="004829F6" w:rsidRDefault="001246D2" w:rsidP="00B73114">
            <w:pPr>
              <w:pStyle w:val="NormalTableau"/>
            </w:pPr>
            <w:r w:rsidRPr="004829F6">
              <w:t>Nom :</w:t>
            </w:r>
          </w:p>
        </w:tc>
        <w:tc>
          <w:tcPr>
            <w:tcW w:w="3386" w:type="dxa"/>
            <w:tcBorders>
              <w:top w:val="nil"/>
              <w:left w:val="single" w:sz="4" w:space="0" w:color="auto"/>
              <w:bottom w:val="nil"/>
            </w:tcBorders>
          </w:tcPr>
          <w:p w14:paraId="7192618A" w14:textId="559CAFB6" w:rsidR="001246D2" w:rsidRPr="004829F6" w:rsidRDefault="00720D52" w:rsidP="00720D52">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233" w:type="dxa"/>
            <w:tcBorders>
              <w:top w:val="nil"/>
              <w:bottom w:val="nil"/>
              <w:right w:val="nil"/>
            </w:tcBorders>
          </w:tcPr>
          <w:p w14:paraId="17B4DAE4" w14:textId="770DC409" w:rsidR="001246D2" w:rsidRPr="004829F6" w:rsidRDefault="001246D2" w:rsidP="00720D52">
            <w:r w:rsidRPr="004829F6">
              <w:t>Prénom :</w:t>
            </w:r>
            <w:r w:rsidR="00720D52">
              <w:t xml:space="preserve"> </w:t>
            </w:r>
            <w:r w:rsidR="00720D52">
              <w:rPr>
                <w:szCs w:val="18"/>
              </w:rPr>
              <w:fldChar w:fldCharType="begin">
                <w:ffData>
                  <w:name w:val="Texte1"/>
                  <w:enabled/>
                  <w:calcOnExit w:val="0"/>
                  <w:textInput/>
                </w:ffData>
              </w:fldChar>
            </w:r>
            <w:r w:rsidR="00720D52">
              <w:rPr>
                <w:szCs w:val="18"/>
              </w:rPr>
              <w:instrText xml:space="preserve"> FORMTEXT </w:instrText>
            </w:r>
            <w:r w:rsidR="00720D52">
              <w:rPr>
                <w:szCs w:val="18"/>
              </w:rPr>
            </w:r>
            <w:r w:rsidR="00720D52">
              <w:rPr>
                <w:szCs w:val="18"/>
              </w:rPr>
              <w:fldChar w:fldCharType="separate"/>
            </w:r>
            <w:r w:rsidR="00720D52">
              <w:rPr>
                <w:noProof/>
                <w:szCs w:val="18"/>
              </w:rPr>
              <w:t> </w:t>
            </w:r>
            <w:r w:rsidR="00720D52">
              <w:rPr>
                <w:noProof/>
                <w:szCs w:val="18"/>
              </w:rPr>
              <w:t> </w:t>
            </w:r>
            <w:r w:rsidR="00720D52">
              <w:rPr>
                <w:noProof/>
                <w:szCs w:val="18"/>
              </w:rPr>
              <w:t> </w:t>
            </w:r>
            <w:r w:rsidR="00720D52">
              <w:rPr>
                <w:noProof/>
                <w:szCs w:val="18"/>
              </w:rPr>
              <w:t> </w:t>
            </w:r>
            <w:r w:rsidR="00720D52">
              <w:rPr>
                <w:noProof/>
                <w:szCs w:val="18"/>
              </w:rPr>
              <w:t> </w:t>
            </w:r>
            <w:r w:rsidR="00720D52">
              <w:rPr>
                <w:szCs w:val="18"/>
              </w:rPr>
              <w:fldChar w:fldCharType="end"/>
            </w:r>
          </w:p>
        </w:tc>
      </w:tr>
      <w:tr w:rsidR="001246D2" w:rsidRPr="004829F6" w14:paraId="7E358883" w14:textId="77777777" w:rsidTr="001246D2">
        <w:trPr>
          <w:jc w:val="center"/>
        </w:trPr>
        <w:tc>
          <w:tcPr>
            <w:tcW w:w="1847" w:type="dxa"/>
            <w:tcBorders>
              <w:top w:val="nil"/>
              <w:left w:val="nil"/>
              <w:bottom w:val="nil"/>
              <w:right w:val="single" w:sz="4" w:space="0" w:color="auto"/>
            </w:tcBorders>
          </w:tcPr>
          <w:p w14:paraId="3A6B7655" w14:textId="77777777" w:rsidR="001246D2" w:rsidRPr="004829F6" w:rsidRDefault="001246D2" w:rsidP="00B73114">
            <w:pPr>
              <w:pStyle w:val="NormalTableau"/>
            </w:pPr>
            <w:r w:rsidRPr="004829F6">
              <w:t>Profession exercée :</w:t>
            </w:r>
          </w:p>
        </w:tc>
        <w:tc>
          <w:tcPr>
            <w:tcW w:w="8619" w:type="dxa"/>
            <w:gridSpan w:val="2"/>
            <w:tcBorders>
              <w:top w:val="nil"/>
              <w:left w:val="single" w:sz="4" w:space="0" w:color="auto"/>
              <w:bottom w:val="nil"/>
              <w:right w:val="nil"/>
            </w:tcBorders>
          </w:tcPr>
          <w:p w14:paraId="47A774B8" w14:textId="2E5F142F" w:rsidR="001246D2" w:rsidRPr="004829F6" w:rsidRDefault="00720D52" w:rsidP="00720D52">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1246D2" w:rsidRPr="004829F6" w14:paraId="28708D3E" w14:textId="77777777" w:rsidTr="001246D2">
        <w:trPr>
          <w:jc w:val="center"/>
        </w:trPr>
        <w:tc>
          <w:tcPr>
            <w:tcW w:w="1847" w:type="dxa"/>
            <w:tcBorders>
              <w:top w:val="nil"/>
              <w:left w:val="nil"/>
              <w:bottom w:val="nil"/>
              <w:right w:val="single" w:sz="4" w:space="0" w:color="auto"/>
            </w:tcBorders>
          </w:tcPr>
          <w:p w14:paraId="66C30957" w14:textId="77777777" w:rsidR="001246D2" w:rsidRPr="004829F6" w:rsidRDefault="001246D2" w:rsidP="00B73114">
            <w:pPr>
              <w:pStyle w:val="NormalTableau"/>
            </w:pPr>
            <w:r w:rsidRPr="004829F6">
              <w:t>Date de naissance :</w:t>
            </w:r>
          </w:p>
        </w:tc>
        <w:tc>
          <w:tcPr>
            <w:tcW w:w="3386" w:type="dxa"/>
            <w:tcBorders>
              <w:top w:val="nil"/>
              <w:left w:val="single" w:sz="4" w:space="0" w:color="auto"/>
              <w:bottom w:val="nil"/>
            </w:tcBorders>
          </w:tcPr>
          <w:p w14:paraId="634A4344" w14:textId="692E4763" w:rsidR="001246D2" w:rsidRPr="004829F6" w:rsidRDefault="00720D52" w:rsidP="00720D52">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233" w:type="dxa"/>
            <w:tcBorders>
              <w:top w:val="nil"/>
              <w:bottom w:val="nil"/>
              <w:right w:val="nil"/>
            </w:tcBorders>
          </w:tcPr>
          <w:p w14:paraId="330380CA" w14:textId="10961848" w:rsidR="001246D2" w:rsidRPr="004829F6" w:rsidRDefault="001246D2" w:rsidP="00720D52">
            <w:r w:rsidRPr="004829F6">
              <w:t>Lieu de naissance :</w:t>
            </w:r>
            <w:r w:rsidR="00720D52">
              <w:t xml:space="preserve"> </w:t>
            </w:r>
            <w:r w:rsidR="00720D52">
              <w:rPr>
                <w:szCs w:val="18"/>
              </w:rPr>
              <w:fldChar w:fldCharType="begin">
                <w:ffData>
                  <w:name w:val="Texte1"/>
                  <w:enabled/>
                  <w:calcOnExit w:val="0"/>
                  <w:textInput/>
                </w:ffData>
              </w:fldChar>
            </w:r>
            <w:r w:rsidR="00720D52">
              <w:rPr>
                <w:szCs w:val="18"/>
              </w:rPr>
              <w:instrText xml:space="preserve"> FORMTEXT </w:instrText>
            </w:r>
            <w:r w:rsidR="00720D52">
              <w:rPr>
                <w:szCs w:val="18"/>
              </w:rPr>
            </w:r>
            <w:r w:rsidR="00720D52">
              <w:rPr>
                <w:szCs w:val="18"/>
              </w:rPr>
              <w:fldChar w:fldCharType="separate"/>
            </w:r>
            <w:r w:rsidR="00720D52">
              <w:rPr>
                <w:noProof/>
                <w:szCs w:val="18"/>
              </w:rPr>
              <w:t> </w:t>
            </w:r>
            <w:r w:rsidR="00720D52">
              <w:rPr>
                <w:noProof/>
                <w:szCs w:val="18"/>
              </w:rPr>
              <w:t> </w:t>
            </w:r>
            <w:r w:rsidR="00720D52">
              <w:rPr>
                <w:noProof/>
                <w:szCs w:val="18"/>
              </w:rPr>
              <w:t> </w:t>
            </w:r>
            <w:r w:rsidR="00720D52">
              <w:rPr>
                <w:noProof/>
                <w:szCs w:val="18"/>
              </w:rPr>
              <w:t> </w:t>
            </w:r>
            <w:r w:rsidR="00720D52">
              <w:rPr>
                <w:noProof/>
                <w:szCs w:val="18"/>
              </w:rPr>
              <w:t> </w:t>
            </w:r>
            <w:r w:rsidR="00720D52">
              <w:rPr>
                <w:szCs w:val="18"/>
              </w:rPr>
              <w:fldChar w:fldCharType="end"/>
            </w:r>
          </w:p>
        </w:tc>
      </w:tr>
      <w:tr w:rsidR="001246D2" w:rsidRPr="004829F6" w14:paraId="6D34AF0C" w14:textId="77777777" w:rsidTr="001246D2">
        <w:trPr>
          <w:jc w:val="center"/>
        </w:trPr>
        <w:tc>
          <w:tcPr>
            <w:tcW w:w="1847" w:type="dxa"/>
            <w:tcBorders>
              <w:top w:val="nil"/>
              <w:left w:val="nil"/>
              <w:bottom w:val="nil"/>
              <w:right w:val="single" w:sz="4" w:space="0" w:color="auto"/>
            </w:tcBorders>
          </w:tcPr>
          <w:p w14:paraId="00E73E6C" w14:textId="77777777" w:rsidR="001246D2" w:rsidRPr="004829F6" w:rsidRDefault="001246D2" w:rsidP="00B73114">
            <w:pPr>
              <w:pStyle w:val="NormalTableau"/>
            </w:pPr>
            <w:r w:rsidRPr="004829F6">
              <w:t>Situation de famille :</w:t>
            </w:r>
          </w:p>
        </w:tc>
        <w:tc>
          <w:tcPr>
            <w:tcW w:w="8619" w:type="dxa"/>
            <w:gridSpan w:val="2"/>
            <w:tcBorders>
              <w:top w:val="nil"/>
              <w:left w:val="single" w:sz="4" w:space="0" w:color="auto"/>
              <w:bottom w:val="nil"/>
              <w:right w:val="nil"/>
            </w:tcBorders>
          </w:tcPr>
          <w:p w14:paraId="42525FDE" w14:textId="7C9B01F9" w:rsidR="001246D2" w:rsidRPr="004829F6" w:rsidRDefault="005525F2" w:rsidP="00B73114">
            <w:pPr>
              <w:pStyle w:val="NormalTableau"/>
            </w:pPr>
            <w:sdt>
              <w:sdtPr>
                <w:id w:val="-493409491"/>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1246D2" w:rsidRPr="004829F6">
              <w:t xml:space="preserve">Célibataire </w:t>
            </w:r>
            <w:sdt>
              <w:sdtPr>
                <w:id w:val="-1292283858"/>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1246D2" w:rsidRPr="004829F6">
              <w:t xml:space="preserve">Marié(e) </w:t>
            </w:r>
            <w:sdt>
              <w:sdtPr>
                <w:id w:val="1375267632"/>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1246D2" w:rsidRPr="004829F6">
              <w:t xml:space="preserve">Veuf(ve) </w:t>
            </w:r>
            <w:sdt>
              <w:sdtPr>
                <w:id w:val="-320970911"/>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1246D2" w:rsidRPr="004829F6">
              <w:t xml:space="preserve">Séparé(e) de corps </w:t>
            </w:r>
            <w:sdt>
              <w:sdtPr>
                <w:id w:val="1712995907"/>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1246D2" w:rsidRPr="004829F6">
              <w:t xml:space="preserve">Divorcé(e) </w:t>
            </w:r>
            <w:sdt>
              <w:sdtPr>
                <w:id w:val="-446620747"/>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1246D2" w:rsidRPr="004829F6">
              <w:t>Union libre</w:t>
            </w:r>
            <w:r w:rsidR="009D5898" w:rsidRPr="004829F6">
              <w:t xml:space="preserve"> </w:t>
            </w:r>
            <w:sdt>
              <w:sdtPr>
                <w:id w:val="-1894180213"/>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9D5898" w:rsidRPr="004829F6">
              <w:t xml:space="preserve"> Pacsé</w:t>
            </w:r>
          </w:p>
        </w:tc>
      </w:tr>
      <w:tr w:rsidR="001246D2" w:rsidRPr="004829F6" w14:paraId="496F0903" w14:textId="77777777" w:rsidTr="001246D2">
        <w:trPr>
          <w:jc w:val="center"/>
        </w:trPr>
        <w:tc>
          <w:tcPr>
            <w:tcW w:w="1847" w:type="dxa"/>
            <w:tcBorders>
              <w:top w:val="nil"/>
              <w:left w:val="nil"/>
              <w:bottom w:val="nil"/>
              <w:right w:val="single" w:sz="4" w:space="0" w:color="auto"/>
            </w:tcBorders>
          </w:tcPr>
          <w:p w14:paraId="192C5E24" w14:textId="77777777" w:rsidR="001246D2" w:rsidRPr="004829F6" w:rsidRDefault="001246D2" w:rsidP="00B73114">
            <w:pPr>
              <w:pStyle w:val="NormalTableau"/>
            </w:pPr>
            <w:r w:rsidRPr="004829F6">
              <w:t>Régime matrimonial :</w:t>
            </w:r>
          </w:p>
        </w:tc>
        <w:tc>
          <w:tcPr>
            <w:tcW w:w="8619" w:type="dxa"/>
            <w:gridSpan w:val="2"/>
            <w:tcBorders>
              <w:top w:val="nil"/>
              <w:left w:val="single" w:sz="4" w:space="0" w:color="auto"/>
              <w:bottom w:val="nil"/>
              <w:right w:val="nil"/>
            </w:tcBorders>
          </w:tcPr>
          <w:p w14:paraId="044F3B68" w14:textId="74CC9481" w:rsidR="00A406DF" w:rsidRPr="004829F6" w:rsidRDefault="005525F2" w:rsidP="00A406DF">
            <w:pPr>
              <w:pStyle w:val="NormalTableau"/>
            </w:pPr>
            <w:sdt>
              <w:sdtPr>
                <w:id w:val="-1368749702"/>
                <w14:checkbox>
                  <w14:checked w14:val="0"/>
                  <w14:checkedState w14:val="2612" w14:font="MS Gothic"/>
                  <w14:uncheckedState w14:val="2610" w14:font="MS Gothic"/>
                </w14:checkbox>
              </w:sdtPr>
              <w:sdtEndPr/>
              <w:sdtContent>
                <w:r w:rsidR="00A406DF">
                  <w:rPr>
                    <w:rFonts w:ascii="MS Gothic" w:eastAsia="MS Gothic" w:hAnsi="MS Gothic" w:hint="eastAsia"/>
                  </w:rPr>
                  <w:t>☐</w:t>
                </w:r>
              </w:sdtContent>
            </w:sdt>
            <w:r w:rsidR="00A406DF" w:rsidRPr="004829F6">
              <w:t xml:space="preserve"> Communauté légale réduite aux acquêts </w:t>
            </w:r>
            <w:sdt>
              <w:sdtPr>
                <w:id w:val="1858690885"/>
                <w14:checkbox>
                  <w14:checked w14:val="0"/>
                  <w14:checkedState w14:val="2612" w14:font="MS Gothic"/>
                  <w14:uncheckedState w14:val="2610" w14:font="MS Gothic"/>
                </w14:checkbox>
              </w:sdtPr>
              <w:sdtEndPr/>
              <w:sdtContent>
                <w:r w:rsidR="00A406DF">
                  <w:rPr>
                    <w:rFonts w:ascii="MS Gothic" w:eastAsia="MS Gothic" w:hAnsi="MS Gothic" w:hint="eastAsia"/>
                  </w:rPr>
                  <w:t>☐</w:t>
                </w:r>
              </w:sdtContent>
            </w:sdt>
            <w:r w:rsidR="00A406DF" w:rsidRPr="004829F6">
              <w:t xml:space="preserve"> Séparation de biens </w:t>
            </w:r>
            <w:sdt>
              <w:sdtPr>
                <w:id w:val="1104770784"/>
                <w14:checkbox>
                  <w14:checked w14:val="0"/>
                  <w14:checkedState w14:val="2612" w14:font="MS Gothic"/>
                  <w14:uncheckedState w14:val="2610" w14:font="MS Gothic"/>
                </w14:checkbox>
              </w:sdtPr>
              <w:sdtEndPr/>
              <w:sdtContent>
                <w:r w:rsidR="00A406DF">
                  <w:rPr>
                    <w:rFonts w:ascii="MS Gothic" w:eastAsia="MS Gothic" w:hAnsi="MS Gothic" w:hint="eastAsia"/>
                  </w:rPr>
                  <w:t>☐</w:t>
                </w:r>
              </w:sdtContent>
            </w:sdt>
            <w:r w:rsidR="00A406DF" w:rsidRPr="004829F6">
              <w:t xml:space="preserve">Communauté universelle </w:t>
            </w:r>
          </w:p>
          <w:p w14:paraId="56244B71" w14:textId="6EA6B3AF" w:rsidR="001246D2" w:rsidRPr="004829F6" w:rsidRDefault="005525F2" w:rsidP="00A406DF">
            <w:pPr>
              <w:pStyle w:val="NormalTableau"/>
            </w:pPr>
            <w:sdt>
              <w:sdtPr>
                <w:id w:val="-633789820"/>
                <w14:checkbox>
                  <w14:checked w14:val="0"/>
                  <w14:checkedState w14:val="2612" w14:font="MS Gothic"/>
                  <w14:uncheckedState w14:val="2610" w14:font="MS Gothic"/>
                </w14:checkbox>
              </w:sdtPr>
              <w:sdtEndPr/>
              <w:sdtContent>
                <w:r w:rsidR="00A406DF">
                  <w:rPr>
                    <w:rFonts w:ascii="MS Gothic" w:eastAsia="MS Gothic" w:hAnsi="MS Gothic" w:hint="eastAsia"/>
                  </w:rPr>
                  <w:t>☐</w:t>
                </w:r>
              </w:sdtContent>
            </w:sdt>
            <w:r w:rsidR="00A406DF" w:rsidRPr="004829F6">
              <w:t xml:space="preserve"> Participation aux acquêts </w:t>
            </w:r>
            <w:sdt>
              <w:sdtPr>
                <w:id w:val="1615406171"/>
                <w14:checkbox>
                  <w14:checked w14:val="0"/>
                  <w14:checkedState w14:val="2612" w14:font="MS Gothic"/>
                  <w14:uncheckedState w14:val="2610" w14:font="MS Gothic"/>
                </w14:checkbox>
              </w:sdtPr>
              <w:sdtEndPr/>
              <w:sdtContent>
                <w:r w:rsidR="00A406DF">
                  <w:rPr>
                    <w:rFonts w:ascii="MS Gothic" w:eastAsia="MS Gothic" w:hAnsi="MS Gothic" w:hint="eastAsia"/>
                  </w:rPr>
                  <w:t>☐</w:t>
                </w:r>
              </w:sdtContent>
            </w:sdt>
            <w:r w:rsidR="00A406DF" w:rsidRPr="004829F6">
              <w:t xml:space="preserve"> Pacte civil de solidarité PACS</w:t>
            </w:r>
          </w:p>
        </w:tc>
      </w:tr>
      <w:tr w:rsidR="001246D2" w:rsidRPr="004829F6" w14:paraId="72131A5F" w14:textId="77777777" w:rsidTr="001246D2">
        <w:trPr>
          <w:jc w:val="center"/>
        </w:trPr>
        <w:tc>
          <w:tcPr>
            <w:tcW w:w="1847" w:type="dxa"/>
            <w:tcBorders>
              <w:top w:val="nil"/>
              <w:left w:val="nil"/>
              <w:bottom w:val="nil"/>
              <w:right w:val="single" w:sz="4" w:space="0" w:color="auto"/>
            </w:tcBorders>
          </w:tcPr>
          <w:p w14:paraId="6FEC4F95" w14:textId="77777777" w:rsidR="001246D2" w:rsidRPr="004829F6" w:rsidRDefault="001246D2" w:rsidP="00B73114">
            <w:pPr>
              <w:pStyle w:val="NormalTableau"/>
            </w:pPr>
            <w:r w:rsidRPr="004829F6">
              <w:t>Nombre d’enfants :</w:t>
            </w:r>
          </w:p>
          <w:p w14:paraId="6BB7673B" w14:textId="7A884E1F" w:rsidR="00D45D58" w:rsidRPr="004829F6" w:rsidRDefault="00D45D58" w:rsidP="00B73114">
            <w:pPr>
              <w:pStyle w:val="NormalTableau"/>
            </w:pPr>
            <w:r w:rsidRPr="004829F6">
              <w:t xml:space="preserve">e-mail : </w:t>
            </w:r>
          </w:p>
          <w:p w14:paraId="5A2A079A" w14:textId="4029C59D" w:rsidR="00FA7C57" w:rsidRPr="004829F6" w:rsidRDefault="00FA7C57" w:rsidP="00B73114">
            <w:pPr>
              <w:pStyle w:val="NormalTableau"/>
            </w:pPr>
            <w:r w:rsidRPr="004829F6">
              <w:t>Tél :</w:t>
            </w:r>
          </w:p>
          <w:p w14:paraId="7C78C2DD" w14:textId="77777777" w:rsidR="00610CF9" w:rsidRPr="004829F6" w:rsidRDefault="00610CF9" w:rsidP="00B73114">
            <w:pPr>
              <w:pStyle w:val="NormalTableau"/>
            </w:pPr>
            <w:r w:rsidRPr="004829F6">
              <w:t>Nationalité</w:t>
            </w:r>
          </w:p>
          <w:p w14:paraId="43B9A58F" w14:textId="49D8FB8C" w:rsidR="00610CF9" w:rsidRPr="004829F6" w:rsidRDefault="00610CF9" w:rsidP="00B73114">
            <w:pPr>
              <w:pStyle w:val="NormalTableau"/>
            </w:pPr>
            <w:r w:rsidRPr="004829F6">
              <w:t xml:space="preserve">Résidence </w:t>
            </w:r>
            <w:r w:rsidR="005519D8" w:rsidRPr="004829F6">
              <w:t>fiscale déclarée</w:t>
            </w:r>
          </w:p>
        </w:tc>
        <w:tc>
          <w:tcPr>
            <w:tcW w:w="3386" w:type="dxa"/>
            <w:tcBorders>
              <w:top w:val="nil"/>
              <w:left w:val="single" w:sz="4" w:space="0" w:color="auto"/>
              <w:bottom w:val="nil"/>
            </w:tcBorders>
          </w:tcPr>
          <w:p w14:paraId="67553497" w14:textId="77777777" w:rsidR="00AB33B9" w:rsidRPr="002E47A2" w:rsidRDefault="00AB33B9" w:rsidP="00AB33B9">
            <w:pPr>
              <w:rPr>
                <w:rFonts w:cs="Arial"/>
                <w:noProof/>
              </w:rPr>
            </w:pPr>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7F9772AC" w14:textId="77777777" w:rsidR="00AB33B9" w:rsidRPr="002E47A2" w:rsidRDefault="00AB33B9" w:rsidP="00AB33B9">
            <w:pPr>
              <w:rPr>
                <w:rFonts w:cs="Arial"/>
                <w:noProof/>
              </w:rPr>
            </w:pPr>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72D1D28D" w14:textId="77777777" w:rsidR="00AB33B9" w:rsidRPr="002E47A2" w:rsidRDefault="00AB33B9" w:rsidP="00AB33B9">
            <w:pPr>
              <w:rPr>
                <w:rFonts w:cs="Arial"/>
                <w:noProof/>
              </w:rPr>
            </w:pPr>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6DEE4EA3" w14:textId="77777777" w:rsidR="00AB33B9" w:rsidRPr="002E47A2" w:rsidRDefault="00AB33B9" w:rsidP="00AB33B9">
            <w:pPr>
              <w:rPr>
                <w:rFonts w:cs="Arial"/>
                <w:noProof/>
              </w:rPr>
            </w:pPr>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110EBC9A" w14:textId="1950FFAA" w:rsidR="001246D2" w:rsidRPr="004829F6" w:rsidRDefault="00AB33B9" w:rsidP="00AB33B9">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44114740" w14:textId="77777777" w:rsidR="00D45D58" w:rsidRPr="004829F6" w:rsidRDefault="00D45D58" w:rsidP="00B73114">
            <w:pPr>
              <w:pStyle w:val="NormalTableau"/>
            </w:pPr>
          </w:p>
        </w:tc>
        <w:tc>
          <w:tcPr>
            <w:tcW w:w="5233" w:type="dxa"/>
            <w:tcBorders>
              <w:top w:val="nil"/>
              <w:bottom w:val="nil"/>
              <w:right w:val="nil"/>
            </w:tcBorders>
          </w:tcPr>
          <w:p w14:paraId="04D92BE0" w14:textId="77777777" w:rsidR="00AB33B9" w:rsidRPr="002E47A2" w:rsidRDefault="001246D2" w:rsidP="00AB33B9">
            <w:pPr>
              <w:rPr>
                <w:rFonts w:cs="Arial"/>
                <w:noProof/>
              </w:rPr>
            </w:pPr>
            <w:r w:rsidRPr="004829F6">
              <w:t>Dont à charge :</w:t>
            </w:r>
            <w:r w:rsidR="00AB33B9">
              <w:t xml:space="preserve"> </w:t>
            </w:r>
            <w:r w:rsidR="00AB33B9">
              <w:rPr>
                <w:szCs w:val="18"/>
              </w:rPr>
              <w:fldChar w:fldCharType="begin">
                <w:ffData>
                  <w:name w:val="Texte1"/>
                  <w:enabled/>
                  <w:calcOnExit w:val="0"/>
                  <w:textInput/>
                </w:ffData>
              </w:fldChar>
            </w:r>
            <w:r w:rsidR="00AB33B9">
              <w:rPr>
                <w:szCs w:val="18"/>
              </w:rPr>
              <w:instrText xml:space="preserve"> FORMTEXT </w:instrText>
            </w:r>
            <w:r w:rsidR="00AB33B9">
              <w:rPr>
                <w:szCs w:val="18"/>
              </w:rPr>
            </w:r>
            <w:r w:rsidR="00AB33B9">
              <w:rPr>
                <w:szCs w:val="18"/>
              </w:rPr>
              <w:fldChar w:fldCharType="separate"/>
            </w:r>
            <w:r w:rsidR="00AB33B9">
              <w:rPr>
                <w:noProof/>
                <w:szCs w:val="18"/>
              </w:rPr>
              <w:t> </w:t>
            </w:r>
            <w:r w:rsidR="00AB33B9">
              <w:rPr>
                <w:noProof/>
                <w:szCs w:val="18"/>
              </w:rPr>
              <w:t> </w:t>
            </w:r>
            <w:r w:rsidR="00AB33B9">
              <w:rPr>
                <w:noProof/>
                <w:szCs w:val="18"/>
              </w:rPr>
              <w:t> </w:t>
            </w:r>
            <w:r w:rsidR="00AB33B9">
              <w:rPr>
                <w:noProof/>
                <w:szCs w:val="18"/>
              </w:rPr>
              <w:t> </w:t>
            </w:r>
            <w:r w:rsidR="00AB33B9">
              <w:rPr>
                <w:noProof/>
                <w:szCs w:val="18"/>
              </w:rPr>
              <w:t> </w:t>
            </w:r>
            <w:r w:rsidR="00AB33B9">
              <w:rPr>
                <w:szCs w:val="18"/>
              </w:rPr>
              <w:fldChar w:fldCharType="end"/>
            </w:r>
          </w:p>
          <w:p w14:paraId="7D662567" w14:textId="1A74E5CD" w:rsidR="001246D2" w:rsidRPr="004829F6" w:rsidRDefault="001246D2" w:rsidP="00B73114">
            <w:pPr>
              <w:pStyle w:val="NormalTableau"/>
            </w:pPr>
          </w:p>
          <w:p w14:paraId="65E73618" w14:textId="6A40F2D7" w:rsidR="00D45D58" w:rsidRPr="004829F6" w:rsidRDefault="00D45D58" w:rsidP="001222DA">
            <w:pPr>
              <w:pStyle w:val="NormalTableau"/>
            </w:pPr>
          </w:p>
        </w:tc>
      </w:tr>
    </w:tbl>
    <w:p w14:paraId="5A97BCEF" w14:textId="23E99A80" w:rsidR="007D6738" w:rsidRPr="004829F6" w:rsidRDefault="007D6738" w:rsidP="007D6738">
      <w:pPr>
        <w:pStyle w:val="NormalHuge"/>
      </w:pPr>
      <w:r w:rsidRPr="004829F6">
        <w:t>Identification du représentant du Mandant</w:t>
      </w:r>
      <w:r w:rsidR="00FA7C57" w:rsidRPr="004829F6">
        <w:t xml:space="preserve"> en cas de sauvegarde de justice, </w:t>
      </w:r>
      <w:r w:rsidR="005519D8" w:rsidRPr="004829F6">
        <w:t xml:space="preserve">habilitation familiale, </w:t>
      </w:r>
      <w:r w:rsidR="00FA7C57" w:rsidRPr="004829F6">
        <w:t>tut</w:t>
      </w:r>
      <w:r w:rsidR="00571D0E" w:rsidRPr="004829F6">
        <w:t>elle, curatelle, enfant mineur</w:t>
      </w:r>
      <w:r w:rsidR="005519D8" w:rsidRPr="004829F6">
        <w:t xml:space="preserve"> </w:t>
      </w:r>
      <w:r w:rsidR="001769BA" w:rsidRPr="004829F6">
        <w:t>:</w:t>
      </w:r>
    </w:p>
    <w:p w14:paraId="7E5FB73C" w14:textId="77777777" w:rsidR="00AB33B9" w:rsidRPr="002E47A2" w:rsidRDefault="007D6738" w:rsidP="00AB33B9">
      <w:pPr>
        <w:rPr>
          <w:rFonts w:cs="Arial"/>
          <w:noProof/>
        </w:rPr>
      </w:pPr>
      <w:r w:rsidRPr="004829F6">
        <w:t>Nom</w:t>
      </w:r>
      <w:r w:rsidR="005E68D2" w:rsidRPr="004829F6">
        <w:t xml:space="preserve"> / prénom</w:t>
      </w:r>
      <w:r w:rsidR="005519D8" w:rsidRPr="004829F6">
        <w:t xml:space="preserve"> - association</w:t>
      </w:r>
      <w:r w:rsidRPr="004829F6">
        <w:t xml:space="preserve"> :</w:t>
      </w:r>
      <w:r w:rsidR="004A1B88" w:rsidRPr="004829F6">
        <w:t xml:space="preserve">  </w:t>
      </w:r>
      <w:r w:rsidR="00AB33B9">
        <w:rPr>
          <w:szCs w:val="18"/>
        </w:rPr>
        <w:fldChar w:fldCharType="begin">
          <w:ffData>
            <w:name w:val="Texte1"/>
            <w:enabled/>
            <w:calcOnExit w:val="0"/>
            <w:textInput/>
          </w:ffData>
        </w:fldChar>
      </w:r>
      <w:r w:rsidR="00AB33B9">
        <w:rPr>
          <w:szCs w:val="18"/>
        </w:rPr>
        <w:instrText xml:space="preserve"> FORMTEXT </w:instrText>
      </w:r>
      <w:r w:rsidR="00AB33B9">
        <w:rPr>
          <w:szCs w:val="18"/>
        </w:rPr>
      </w:r>
      <w:r w:rsidR="00AB33B9">
        <w:rPr>
          <w:szCs w:val="18"/>
        </w:rPr>
        <w:fldChar w:fldCharType="separate"/>
      </w:r>
      <w:r w:rsidR="00AB33B9">
        <w:rPr>
          <w:noProof/>
          <w:szCs w:val="18"/>
        </w:rPr>
        <w:t> </w:t>
      </w:r>
      <w:r w:rsidR="00AB33B9">
        <w:rPr>
          <w:noProof/>
          <w:szCs w:val="18"/>
        </w:rPr>
        <w:t> </w:t>
      </w:r>
      <w:r w:rsidR="00AB33B9">
        <w:rPr>
          <w:noProof/>
          <w:szCs w:val="18"/>
        </w:rPr>
        <w:t> </w:t>
      </w:r>
      <w:r w:rsidR="00AB33B9">
        <w:rPr>
          <w:noProof/>
          <w:szCs w:val="18"/>
        </w:rPr>
        <w:t> </w:t>
      </w:r>
      <w:r w:rsidR="00AB33B9">
        <w:rPr>
          <w:noProof/>
          <w:szCs w:val="18"/>
        </w:rPr>
        <w:t> </w:t>
      </w:r>
      <w:r w:rsidR="00AB33B9">
        <w:rPr>
          <w:szCs w:val="18"/>
        </w:rPr>
        <w:fldChar w:fldCharType="end"/>
      </w:r>
      <w:r w:rsidR="004A1B88" w:rsidRPr="004829F6">
        <w:t xml:space="preserve">                                                                           </w:t>
      </w:r>
      <w:r w:rsidR="00610CF9" w:rsidRPr="004829F6">
        <w:t xml:space="preserve">Agissant en qualité de : </w:t>
      </w:r>
      <w:r w:rsidR="00AB33B9">
        <w:rPr>
          <w:szCs w:val="18"/>
        </w:rPr>
        <w:fldChar w:fldCharType="begin">
          <w:ffData>
            <w:name w:val="Texte1"/>
            <w:enabled/>
            <w:calcOnExit w:val="0"/>
            <w:textInput/>
          </w:ffData>
        </w:fldChar>
      </w:r>
      <w:r w:rsidR="00AB33B9">
        <w:rPr>
          <w:szCs w:val="18"/>
        </w:rPr>
        <w:instrText xml:space="preserve"> FORMTEXT </w:instrText>
      </w:r>
      <w:r w:rsidR="00AB33B9">
        <w:rPr>
          <w:szCs w:val="18"/>
        </w:rPr>
      </w:r>
      <w:r w:rsidR="00AB33B9">
        <w:rPr>
          <w:szCs w:val="18"/>
        </w:rPr>
        <w:fldChar w:fldCharType="separate"/>
      </w:r>
      <w:r w:rsidR="00AB33B9">
        <w:rPr>
          <w:noProof/>
          <w:szCs w:val="18"/>
        </w:rPr>
        <w:t> </w:t>
      </w:r>
      <w:r w:rsidR="00AB33B9">
        <w:rPr>
          <w:noProof/>
          <w:szCs w:val="18"/>
        </w:rPr>
        <w:t> </w:t>
      </w:r>
      <w:r w:rsidR="00AB33B9">
        <w:rPr>
          <w:noProof/>
          <w:szCs w:val="18"/>
        </w:rPr>
        <w:t> </w:t>
      </w:r>
      <w:r w:rsidR="00AB33B9">
        <w:rPr>
          <w:noProof/>
          <w:szCs w:val="18"/>
        </w:rPr>
        <w:t> </w:t>
      </w:r>
      <w:r w:rsidR="00AB33B9">
        <w:rPr>
          <w:noProof/>
          <w:szCs w:val="18"/>
        </w:rPr>
        <w:t> </w:t>
      </w:r>
      <w:r w:rsidR="00AB33B9">
        <w:rPr>
          <w:szCs w:val="18"/>
        </w:rPr>
        <w:fldChar w:fldCharType="end"/>
      </w:r>
    </w:p>
    <w:p w14:paraId="07C4A753" w14:textId="39056FA2" w:rsidR="00610CF9" w:rsidRPr="004829F6" w:rsidRDefault="00610CF9" w:rsidP="00AB33B9"/>
    <w:p w14:paraId="3A802430" w14:textId="28512178" w:rsidR="007D6738" w:rsidRPr="004829F6" w:rsidRDefault="00571D0E" w:rsidP="00AB33B9">
      <w:r w:rsidRPr="004829F6">
        <w:t>Adresse :</w:t>
      </w:r>
      <w:r w:rsidR="00AB33B9">
        <w:t xml:space="preserve"> </w:t>
      </w:r>
      <w:r w:rsidR="00AB33B9">
        <w:rPr>
          <w:szCs w:val="18"/>
        </w:rPr>
        <w:fldChar w:fldCharType="begin">
          <w:ffData>
            <w:name w:val="Texte1"/>
            <w:enabled/>
            <w:calcOnExit w:val="0"/>
            <w:textInput/>
          </w:ffData>
        </w:fldChar>
      </w:r>
      <w:r w:rsidR="00AB33B9">
        <w:rPr>
          <w:szCs w:val="18"/>
        </w:rPr>
        <w:instrText xml:space="preserve"> FORMTEXT </w:instrText>
      </w:r>
      <w:r w:rsidR="00AB33B9">
        <w:rPr>
          <w:szCs w:val="18"/>
        </w:rPr>
      </w:r>
      <w:r w:rsidR="00AB33B9">
        <w:rPr>
          <w:szCs w:val="18"/>
        </w:rPr>
        <w:fldChar w:fldCharType="separate"/>
      </w:r>
      <w:r w:rsidR="00AB33B9">
        <w:rPr>
          <w:noProof/>
          <w:szCs w:val="18"/>
        </w:rPr>
        <w:t> </w:t>
      </w:r>
      <w:r w:rsidR="00AB33B9">
        <w:rPr>
          <w:noProof/>
          <w:szCs w:val="18"/>
        </w:rPr>
        <w:t> </w:t>
      </w:r>
      <w:r w:rsidR="00AB33B9">
        <w:rPr>
          <w:noProof/>
          <w:szCs w:val="18"/>
        </w:rPr>
        <w:t> </w:t>
      </w:r>
      <w:r w:rsidR="00AB33B9">
        <w:rPr>
          <w:noProof/>
          <w:szCs w:val="18"/>
        </w:rPr>
        <w:t> </w:t>
      </w:r>
      <w:r w:rsidR="00AB33B9">
        <w:rPr>
          <w:noProof/>
          <w:szCs w:val="18"/>
        </w:rPr>
        <w:t> </w:t>
      </w:r>
      <w:r w:rsidR="00AB33B9">
        <w:rPr>
          <w:szCs w:val="18"/>
        </w:rPr>
        <w:fldChar w:fldCharType="end"/>
      </w:r>
    </w:p>
    <w:p w14:paraId="60F919BB" w14:textId="50923309" w:rsidR="007D6738" w:rsidRPr="004829F6" w:rsidRDefault="007D6738" w:rsidP="00AB33B9">
      <w:r w:rsidRPr="004829F6">
        <w:t>Coordonnées</w:t>
      </w:r>
      <w:r w:rsidR="00571D0E" w:rsidRPr="004829F6">
        <w:t xml:space="preserve"> tél et e-mail</w:t>
      </w:r>
      <w:r w:rsidRPr="004829F6">
        <w:t xml:space="preserve"> :</w:t>
      </w:r>
      <w:r w:rsidR="00AB33B9">
        <w:t xml:space="preserve"> </w:t>
      </w:r>
      <w:r w:rsidR="00AB33B9">
        <w:rPr>
          <w:szCs w:val="18"/>
        </w:rPr>
        <w:fldChar w:fldCharType="begin">
          <w:ffData>
            <w:name w:val="Texte1"/>
            <w:enabled/>
            <w:calcOnExit w:val="0"/>
            <w:textInput/>
          </w:ffData>
        </w:fldChar>
      </w:r>
      <w:r w:rsidR="00AB33B9">
        <w:rPr>
          <w:szCs w:val="18"/>
        </w:rPr>
        <w:instrText xml:space="preserve"> FORMTEXT </w:instrText>
      </w:r>
      <w:r w:rsidR="00AB33B9">
        <w:rPr>
          <w:szCs w:val="18"/>
        </w:rPr>
      </w:r>
      <w:r w:rsidR="00AB33B9">
        <w:rPr>
          <w:szCs w:val="18"/>
        </w:rPr>
        <w:fldChar w:fldCharType="separate"/>
      </w:r>
      <w:r w:rsidR="00AB33B9">
        <w:rPr>
          <w:noProof/>
          <w:szCs w:val="18"/>
        </w:rPr>
        <w:t> </w:t>
      </w:r>
      <w:r w:rsidR="00AB33B9">
        <w:rPr>
          <w:noProof/>
          <w:szCs w:val="18"/>
        </w:rPr>
        <w:t> </w:t>
      </w:r>
      <w:r w:rsidR="00AB33B9">
        <w:rPr>
          <w:noProof/>
          <w:szCs w:val="18"/>
        </w:rPr>
        <w:t> </w:t>
      </w:r>
      <w:r w:rsidR="00AB33B9">
        <w:rPr>
          <w:noProof/>
          <w:szCs w:val="18"/>
        </w:rPr>
        <w:t> </w:t>
      </w:r>
      <w:r w:rsidR="00AB33B9">
        <w:rPr>
          <w:noProof/>
          <w:szCs w:val="18"/>
        </w:rPr>
        <w:t> </w:t>
      </w:r>
      <w:r w:rsidR="00AB33B9">
        <w:rPr>
          <w:szCs w:val="18"/>
        </w:rPr>
        <w:fldChar w:fldCharType="end"/>
      </w:r>
    </w:p>
    <w:p w14:paraId="2D1A11C6" w14:textId="77777777" w:rsidR="00FA7C57" w:rsidRPr="004829F6" w:rsidRDefault="00FA7C57" w:rsidP="00DB7096">
      <w:pPr>
        <w:pStyle w:val="NormalHuge"/>
      </w:pPr>
    </w:p>
    <w:p w14:paraId="0DBF4FE8" w14:textId="001E7FD0" w:rsidR="00334503" w:rsidRPr="004829F6" w:rsidRDefault="00334503" w:rsidP="00DB7096">
      <w:pPr>
        <w:pStyle w:val="NormalHuge"/>
        <w:rPr>
          <w:b/>
        </w:rPr>
      </w:pPr>
      <w:r w:rsidRPr="004829F6">
        <w:rPr>
          <w:b/>
        </w:rPr>
        <w:t xml:space="preserve">PERSONNE MORALE : </w:t>
      </w:r>
    </w:p>
    <w:p w14:paraId="7F6930D3" w14:textId="7E454D64" w:rsidR="00334503" w:rsidRPr="004829F6" w:rsidRDefault="00334503" w:rsidP="00AB33B9">
      <w:r w:rsidRPr="004829F6">
        <w:t>Société (Dénomination et</w:t>
      </w:r>
      <w:r w:rsidR="00A43949" w:rsidRPr="004829F6">
        <w:t xml:space="preserve"> </w:t>
      </w:r>
      <w:r w:rsidR="00571D0E" w:rsidRPr="004829F6">
        <w:t xml:space="preserve">statut juridique </w:t>
      </w:r>
      <w:r w:rsidRPr="004829F6">
        <w:t>:</w:t>
      </w:r>
      <w:r w:rsidR="00AB33B9">
        <w:t xml:space="preserve"> </w:t>
      </w:r>
      <w:r w:rsidR="00AB33B9">
        <w:rPr>
          <w:szCs w:val="18"/>
        </w:rPr>
        <w:fldChar w:fldCharType="begin">
          <w:ffData>
            <w:name w:val="Texte1"/>
            <w:enabled/>
            <w:calcOnExit w:val="0"/>
            <w:textInput/>
          </w:ffData>
        </w:fldChar>
      </w:r>
      <w:r w:rsidR="00AB33B9">
        <w:rPr>
          <w:szCs w:val="18"/>
        </w:rPr>
        <w:instrText xml:space="preserve"> FORMTEXT </w:instrText>
      </w:r>
      <w:r w:rsidR="00AB33B9">
        <w:rPr>
          <w:szCs w:val="18"/>
        </w:rPr>
      </w:r>
      <w:r w:rsidR="00AB33B9">
        <w:rPr>
          <w:szCs w:val="18"/>
        </w:rPr>
        <w:fldChar w:fldCharType="separate"/>
      </w:r>
      <w:r w:rsidR="00AB33B9">
        <w:rPr>
          <w:noProof/>
          <w:szCs w:val="18"/>
        </w:rPr>
        <w:t> </w:t>
      </w:r>
      <w:r w:rsidR="00AB33B9">
        <w:rPr>
          <w:noProof/>
          <w:szCs w:val="18"/>
        </w:rPr>
        <w:t> </w:t>
      </w:r>
      <w:r w:rsidR="00AB33B9">
        <w:rPr>
          <w:noProof/>
          <w:szCs w:val="18"/>
        </w:rPr>
        <w:t> </w:t>
      </w:r>
      <w:r w:rsidR="00AB33B9">
        <w:rPr>
          <w:noProof/>
          <w:szCs w:val="18"/>
        </w:rPr>
        <w:t> </w:t>
      </w:r>
      <w:r w:rsidR="00AB33B9">
        <w:rPr>
          <w:noProof/>
          <w:szCs w:val="18"/>
        </w:rPr>
        <w:t> </w:t>
      </w:r>
      <w:r w:rsidR="00AB33B9">
        <w:rPr>
          <w:szCs w:val="18"/>
        </w:rPr>
        <w:fldChar w:fldCharType="end"/>
      </w:r>
    </w:p>
    <w:p w14:paraId="18FDDA6A" w14:textId="2DAD7A55" w:rsidR="00457869" w:rsidRPr="004829F6" w:rsidRDefault="00457869" w:rsidP="00AB33B9">
      <w:r w:rsidRPr="004829F6">
        <w:t>Immatriculation au RCS, numéro :</w:t>
      </w:r>
      <w:r w:rsidR="00AB33B9">
        <w:t xml:space="preserve"> </w:t>
      </w:r>
      <w:r w:rsidR="00AB33B9">
        <w:rPr>
          <w:szCs w:val="18"/>
        </w:rPr>
        <w:fldChar w:fldCharType="begin">
          <w:ffData>
            <w:name w:val="Texte1"/>
            <w:enabled/>
            <w:calcOnExit w:val="0"/>
            <w:textInput/>
          </w:ffData>
        </w:fldChar>
      </w:r>
      <w:r w:rsidR="00AB33B9">
        <w:rPr>
          <w:szCs w:val="18"/>
        </w:rPr>
        <w:instrText xml:space="preserve"> FORMTEXT </w:instrText>
      </w:r>
      <w:r w:rsidR="00AB33B9">
        <w:rPr>
          <w:szCs w:val="18"/>
        </w:rPr>
      </w:r>
      <w:r w:rsidR="00AB33B9">
        <w:rPr>
          <w:szCs w:val="18"/>
        </w:rPr>
        <w:fldChar w:fldCharType="separate"/>
      </w:r>
      <w:r w:rsidR="00AB33B9">
        <w:rPr>
          <w:noProof/>
          <w:szCs w:val="18"/>
        </w:rPr>
        <w:t> </w:t>
      </w:r>
      <w:r w:rsidR="00AB33B9">
        <w:rPr>
          <w:noProof/>
          <w:szCs w:val="18"/>
        </w:rPr>
        <w:t> </w:t>
      </w:r>
      <w:r w:rsidR="00AB33B9">
        <w:rPr>
          <w:noProof/>
          <w:szCs w:val="18"/>
        </w:rPr>
        <w:t> </w:t>
      </w:r>
      <w:r w:rsidR="00AB33B9">
        <w:rPr>
          <w:noProof/>
          <w:szCs w:val="18"/>
        </w:rPr>
        <w:t> </w:t>
      </w:r>
      <w:r w:rsidR="00AB33B9">
        <w:rPr>
          <w:noProof/>
          <w:szCs w:val="18"/>
        </w:rPr>
        <w:t> </w:t>
      </w:r>
      <w:r w:rsidR="00AB33B9">
        <w:rPr>
          <w:szCs w:val="18"/>
        </w:rPr>
        <w:fldChar w:fldCharType="end"/>
      </w:r>
    </w:p>
    <w:p w14:paraId="65CEDF5C" w14:textId="649CE577" w:rsidR="00334503" w:rsidRPr="004829F6" w:rsidRDefault="00334503" w:rsidP="00AB33B9">
      <w:r w:rsidRPr="004829F6">
        <w:t xml:space="preserve">Adresse complète </w:t>
      </w:r>
      <w:r w:rsidR="00457869" w:rsidRPr="004829F6">
        <w:t xml:space="preserve">du siège social </w:t>
      </w:r>
      <w:r w:rsidRPr="004829F6">
        <w:t xml:space="preserve">: </w:t>
      </w:r>
      <w:r w:rsidR="00AB33B9">
        <w:rPr>
          <w:szCs w:val="18"/>
        </w:rPr>
        <w:fldChar w:fldCharType="begin">
          <w:ffData>
            <w:name w:val="Texte1"/>
            <w:enabled/>
            <w:calcOnExit w:val="0"/>
            <w:textInput/>
          </w:ffData>
        </w:fldChar>
      </w:r>
      <w:r w:rsidR="00AB33B9">
        <w:rPr>
          <w:szCs w:val="18"/>
        </w:rPr>
        <w:instrText xml:space="preserve"> FORMTEXT </w:instrText>
      </w:r>
      <w:r w:rsidR="00AB33B9">
        <w:rPr>
          <w:szCs w:val="18"/>
        </w:rPr>
      </w:r>
      <w:r w:rsidR="00AB33B9">
        <w:rPr>
          <w:szCs w:val="18"/>
        </w:rPr>
        <w:fldChar w:fldCharType="separate"/>
      </w:r>
      <w:r w:rsidR="00AB33B9">
        <w:rPr>
          <w:noProof/>
          <w:szCs w:val="18"/>
        </w:rPr>
        <w:t> </w:t>
      </w:r>
      <w:r w:rsidR="00AB33B9">
        <w:rPr>
          <w:noProof/>
          <w:szCs w:val="18"/>
        </w:rPr>
        <w:t> </w:t>
      </w:r>
      <w:r w:rsidR="00AB33B9">
        <w:rPr>
          <w:noProof/>
          <w:szCs w:val="18"/>
        </w:rPr>
        <w:t> </w:t>
      </w:r>
      <w:r w:rsidR="00AB33B9">
        <w:rPr>
          <w:noProof/>
          <w:szCs w:val="18"/>
        </w:rPr>
        <w:t> </w:t>
      </w:r>
      <w:r w:rsidR="00AB33B9">
        <w:rPr>
          <w:noProof/>
          <w:szCs w:val="18"/>
        </w:rPr>
        <w:t> </w:t>
      </w:r>
      <w:r w:rsidR="00AB33B9">
        <w:rPr>
          <w:szCs w:val="18"/>
        </w:rPr>
        <w:fldChar w:fldCharType="end"/>
      </w:r>
    </w:p>
    <w:p w14:paraId="44263707" w14:textId="71E225A5" w:rsidR="00571D0E" w:rsidRPr="004829F6" w:rsidRDefault="00571D0E" w:rsidP="00AB33B9">
      <w:r w:rsidRPr="004829F6">
        <w:t>Tél. :</w:t>
      </w:r>
      <w:r w:rsidR="00AB33B9">
        <w:t xml:space="preserve"> </w:t>
      </w:r>
      <w:r w:rsidR="00AB33B9">
        <w:rPr>
          <w:szCs w:val="18"/>
        </w:rPr>
        <w:fldChar w:fldCharType="begin">
          <w:ffData>
            <w:name w:val="Texte1"/>
            <w:enabled/>
            <w:calcOnExit w:val="0"/>
            <w:textInput/>
          </w:ffData>
        </w:fldChar>
      </w:r>
      <w:r w:rsidR="00AB33B9">
        <w:rPr>
          <w:szCs w:val="18"/>
        </w:rPr>
        <w:instrText xml:space="preserve"> FORMTEXT </w:instrText>
      </w:r>
      <w:r w:rsidR="00AB33B9">
        <w:rPr>
          <w:szCs w:val="18"/>
        </w:rPr>
      </w:r>
      <w:r w:rsidR="00AB33B9">
        <w:rPr>
          <w:szCs w:val="18"/>
        </w:rPr>
        <w:fldChar w:fldCharType="separate"/>
      </w:r>
      <w:r w:rsidR="00AB33B9">
        <w:rPr>
          <w:noProof/>
          <w:szCs w:val="18"/>
        </w:rPr>
        <w:t> </w:t>
      </w:r>
      <w:r w:rsidR="00AB33B9">
        <w:rPr>
          <w:noProof/>
          <w:szCs w:val="18"/>
        </w:rPr>
        <w:t> </w:t>
      </w:r>
      <w:r w:rsidR="00AB33B9">
        <w:rPr>
          <w:noProof/>
          <w:szCs w:val="18"/>
        </w:rPr>
        <w:t> </w:t>
      </w:r>
      <w:r w:rsidR="00AB33B9">
        <w:rPr>
          <w:noProof/>
          <w:szCs w:val="18"/>
        </w:rPr>
        <w:t> </w:t>
      </w:r>
      <w:r w:rsidR="00AB33B9">
        <w:rPr>
          <w:noProof/>
          <w:szCs w:val="18"/>
        </w:rPr>
        <w:t> </w:t>
      </w:r>
      <w:r w:rsidR="00AB33B9">
        <w:rPr>
          <w:szCs w:val="18"/>
        </w:rPr>
        <w:fldChar w:fldCharType="end"/>
      </w:r>
    </w:p>
    <w:p w14:paraId="0D03939A" w14:textId="77777777" w:rsidR="00AB33B9" w:rsidRPr="002E47A2" w:rsidRDefault="00571D0E" w:rsidP="00AB33B9">
      <w:pPr>
        <w:rPr>
          <w:rFonts w:cs="Arial"/>
          <w:noProof/>
        </w:rPr>
      </w:pPr>
      <w:r w:rsidRPr="004829F6">
        <w:t>e-mail :</w:t>
      </w:r>
      <w:r w:rsidR="00AB33B9">
        <w:t xml:space="preserve"> </w:t>
      </w:r>
      <w:r w:rsidR="00AB33B9">
        <w:rPr>
          <w:szCs w:val="18"/>
        </w:rPr>
        <w:fldChar w:fldCharType="begin">
          <w:ffData>
            <w:name w:val="Texte1"/>
            <w:enabled/>
            <w:calcOnExit w:val="0"/>
            <w:textInput/>
          </w:ffData>
        </w:fldChar>
      </w:r>
      <w:r w:rsidR="00AB33B9">
        <w:rPr>
          <w:szCs w:val="18"/>
        </w:rPr>
        <w:instrText xml:space="preserve"> FORMTEXT </w:instrText>
      </w:r>
      <w:r w:rsidR="00AB33B9">
        <w:rPr>
          <w:szCs w:val="18"/>
        </w:rPr>
      </w:r>
      <w:r w:rsidR="00AB33B9">
        <w:rPr>
          <w:szCs w:val="18"/>
        </w:rPr>
        <w:fldChar w:fldCharType="separate"/>
      </w:r>
      <w:r w:rsidR="00AB33B9">
        <w:rPr>
          <w:noProof/>
          <w:szCs w:val="18"/>
        </w:rPr>
        <w:t> </w:t>
      </w:r>
      <w:r w:rsidR="00AB33B9">
        <w:rPr>
          <w:noProof/>
          <w:szCs w:val="18"/>
        </w:rPr>
        <w:t> </w:t>
      </w:r>
      <w:r w:rsidR="00AB33B9">
        <w:rPr>
          <w:noProof/>
          <w:szCs w:val="18"/>
        </w:rPr>
        <w:t> </w:t>
      </w:r>
      <w:r w:rsidR="00AB33B9">
        <w:rPr>
          <w:noProof/>
          <w:szCs w:val="18"/>
        </w:rPr>
        <w:t> </w:t>
      </w:r>
      <w:r w:rsidR="00AB33B9">
        <w:rPr>
          <w:noProof/>
          <w:szCs w:val="18"/>
        </w:rPr>
        <w:t> </w:t>
      </w:r>
      <w:r w:rsidR="00AB33B9">
        <w:rPr>
          <w:szCs w:val="18"/>
        </w:rPr>
        <w:fldChar w:fldCharType="end"/>
      </w:r>
    </w:p>
    <w:p w14:paraId="75480FFE" w14:textId="5D423457" w:rsidR="00571D0E" w:rsidRPr="004829F6" w:rsidRDefault="00571D0E" w:rsidP="00DB7096">
      <w:pPr>
        <w:pStyle w:val="NormalHuge"/>
      </w:pPr>
    </w:p>
    <w:p w14:paraId="32C4478C" w14:textId="77777777" w:rsidR="005519D8" w:rsidRPr="004829F6" w:rsidRDefault="005519D8" w:rsidP="00DB7096">
      <w:pPr>
        <w:pStyle w:val="NormalHuge"/>
      </w:pPr>
    </w:p>
    <w:p w14:paraId="4C5BBA6B" w14:textId="77777777" w:rsidR="00334503" w:rsidRPr="004829F6" w:rsidRDefault="00334503" w:rsidP="00334503">
      <w:pPr>
        <w:pStyle w:val="NormalHuge"/>
      </w:pPr>
      <w:r w:rsidRPr="004829F6">
        <w:t>Représentée par :</w:t>
      </w:r>
    </w:p>
    <w:p w14:paraId="760B6738" w14:textId="29A934A8" w:rsidR="00457869" w:rsidRPr="004829F6" w:rsidRDefault="00720D52" w:rsidP="00334503">
      <w:pPr>
        <w:pStyle w:val="NormalHuge"/>
      </w:pPr>
      <w:r>
        <w:rPr>
          <w:rFonts w:cs="Arial"/>
          <w:noProof/>
        </w:rPr>
        <w:t xml:space="preserve"> </w:t>
      </w:r>
      <w:sdt>
        <w:sdtPr>
          <w:rPr>
            <w:rFonts w:cs="Arial"/>
            <w:noProof/>
          </w:rPr>
          <w:id w:val="-453167762"/>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Segoe UI Symbol" w:eastAsia="MS Gothic" w:hAnsi="Segoe UI Symbol" w:cs="Segoe UI Symbol"/>
        </w:rPr>
        <w:t xml:space="preserve"> </w:t>
      </w:r>
      <w:r w:rsidR="00457869" w:rsidRPr="004829F6">
        <w:t xml:space="preserve">M. </w:t>
      </w:r>
      <w:r>
        <w:rPr>
          <w:rFonts w:cs="Arial"/>
          <w:noProof/>
        </w:rPr>
        <w:t xml:space="preserve"> </w:t>
      </w:r>
      <w:sdt>
        <w:sdtPr>
          <w:rPr>
            <w:rFonts w:cs="Arial"/>
            <w:noProof/>
          </w:rPr>
          <w:id w:val="1794482749"/>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Pr>
          <w:rFonts w:ascii="Segoe UI Symbol" w:eastAsia="MS Gothic" w:hAnsi="Segoe UI Symbol" w:cs="Segoe UI Symbol"/>
        </w:rPr>
        <w:t xml:space="preserve"> </w:t>
      </w:r>
      <w:r w:rsidR="00457869" w:rsidRPr="004829F6">
        <w:t>Mme</w:t>
      </w:r>
    </w:p>
    <w:p w14:paraId="2E83D312" w14:textId="62960BDB" w:rsidR="00334503" w:rsidRPr="004829F6" w:rsidRDefault="00334503" w:rsidP="00334503">
      <w:pPr>
        <w:pStyle w:val="NormalHuge"/>
      </w:pPr>
      <w:r w:rsidRPr="004829F6">
        <w:t>Nom et prénom :</w:t>
      </w:r>
      <w:r w:rsidR="003C4DB6">
        <w:t xml:space="preserve"> </w:t>
      </w:r>
      <w:r w:rsidR="003C4DB6">
        <w:rPr>
          <w:szCs w:val="18"/>
        </w:rPr>
        <w:fldChar w:fldCharType="begin">
          <w:ffData>
            <w:name w:val="Texte1"/>
            <w:enabled/>
            <w:calcOnExit w:val="0"/>
            <w:textInput/>
          </w:ffData>
        </w:fldChar>
      </w:r>
      <w:r w:rsidR="003C4DB6">
        <w:rPr>
          <w:szCs w:val="18"/>
        </w:rPr>
        <w:instrText xml:space="preserve"> FORMTEXT </w:instrText>
      </w:r>
      <w:r w:rsidR="003C4DB6">
        <w:rPr>
          <w:szCs w:val="18"/>
        </w:rPr>
      </w:r>
      <w:r w:rsidR="003C4DB6">
        <w:rPr>
          <w:szCs w:val="18"/>
        </w:rPr>
        <w:fldChar w:fldCharType="separate"/>
      </w:r>
      <w:r w:rsidR="003C4DB6">
        <w:rPr>
          <w:noProof/>
          <w:szCs w:val="18"/>
        </w:rPr>
        <w:t> </w:t>
      </w:r>
      <w:r w:rsidR="003C4DB6">
        <w:rPr>
          <w:noProof/>
          <w:szCs w:val="18"/>
        </w:rPr>
        <w:t> </w:t>
      </w:r>
      <w:r w:rsidR="003C4DB6">
        <w:rPr>
          <w:noProof/>
          <w:szCs w:val="18"/>
        </w:rPr>
        <w:t> </w:t>
      </w:r>
      <w:r w:rsidR="003C4DB6">
        <w:rPr>
          <w:noProof/>
          <w:szCs w:val="18"/>
        </w:rPr>
        <w:t> </w:t>
      </w:r>
      <w:r w:rsidR="003C4DB6">
        <w:rPr>
          <w:noProof/>
          <w:szCs w:val="18"/>
        </w:rPr>
        <w:t> </w:t>
      </w:r>
      <w:r w:rsidR="003C4DB6">
        <w:rPr>
          <w:szCs w:val="18"/>
        </w:rPr>
        <w:fldChar w:fldCharType="end"/>
      </w:r>
      <w:r w:rsidRPr="004829F6">
        <w:tab/>
        <w:t xml:space="preserve"> </w:t>
      </w:r>
    </w:p>
    <w:p w14:paraId="1245199B" w14:textId="278E467E" w:rsidR="00334503" w:rsidRPr="004829F6" w:rsidRDefault="00334503" w:rsidP="00334503">
      <w:pPr>
        <w:pStyle w:val="NormalHuge"/>
      </w:pPr>
      <w:r w:rsidRPr="004829F6">
        <w:t>Agissant en qualité de :</w:t>
      </w:r>
      <w:r w:rsidR="00533DC1" w:rsidRPr="004829F6">
        <w:t xml:space="preserve">  </w:t>
      </w:r>
      <w:r w:rsidR="003C4DB6">
        <w:rPr>
          <w:szCs w:val="18"/>
        </w:rPr>
        <w:fldChar w:fldCharType="begin">
          <w:ffData>
            <w:name w:val="Texte1"/>
            <w:enabled/>
            <w:calcOnExit w:val="0"/>
            <w:textInput/>
          </w:ffData>
        </w:fldChar>
      </w:r>
      <w:r w:rsidR="003C4DB6">
        <w:rPr>
          <w:szCs w:val="18"/>
        </w:rPr>
        <w:instrText xml:space="preserve"> FORMTEXT </w:instrText>
      </w:r>
      <w:r w:rsidR="003C4DB6">
        <w:rPr>
          <w:szCs w:val="18"/>
        </w:rPr>
      </w:r>
      <w:r w:rsidR="003C4DB6">
        <w:rPr>
          <w:szCs w:val="18"/>
        </w:rPr>
        <w:fldChar w:fldCharType="separate"/>
      </w:r>
      <w:r w:rsidR="003C4DB6">
        <w:rPr>
          <w:noProof/>
          <w:szCs w:val="18"/>
        </w:rPr>
        <w:t> </w:t>
      </w:r>
      <w:r w:rsidR="003C4DB6">
        <w:rPr>
          <w:noProof/>
          <w:szCs w:val="18"/>
        </w:rPr>
        <w:t> </w:t>
      </w:r>
      <w:r w:rsidR="003C4DB6">
        <w:rPr>
          <w:noProof/>
          <w:szCs w:val="18"/>
        </w:rPr>
        <w:t> </w:t>
      </w:r>
      <w:r w:rsidR="003C4DB6">
        <w:rPr>
          <w:noProof/>
          <w:szCs w:val="18"/>
        </w:rPr>
        <w:t> </w:t>
      </w:r>
      <w:r w:rsidR="003C4DB6">
        <w:rPr>
          <w:noProof/>
          <w:szCs w:val="18"/>
        </w:rPr>
        <w:t> </w:t>
      </w:r>
      <w:r w:rsidR="003C4DB6">
        <w:rPr>
          <w:szCs w:val="18"/>
        </w:rPr>
        <w:fldChar w:fldCharType="end"/>
      </w:r>
      <w:r w:rsidR="00533DC1" w:rsidRPr="004829F6">
        <w:t xml:space="preserve">                                           depuis le : </w:t>
      </w:r>
      <w:r w:rsidR="003C4DB6">
        <w:rPr>
          <w:szCs w:val="18"/>
        </w:rPr>
        <w:fldChar w:fldCharType="begin">
          <w:ffData>
            <w:name w:val="Texte1"/>
            <w:enabled/>
            <w:calcOnExit w:val="0"/>
            <w:textInput/>
          </w:ffData>
        </w:fldChar>
      </w:r>
      <w:r w:rsidR="003C4DB6">
        <w:rPr>
          <w:szCs w:val="18"/>
        </w:rPr>
        <w:instrText xml:space="preserve"> FORMTEXT </w:instrText>
      </w:r>
      <w:r w:rsidR="003C4DB6">
        <w:rPr>
          <w:szCs w:val="18"/>
        </w:rPr>
      </w:r>
      <w:r w:rsidR="003C4DB6">
        <w:rPr>
          <w:szCs w:val="18"/>
        </w:rPr>
        <w:fldChar w:fldCharType="separate"/>
      </w:r>
      <w:r w:rsidR="003C4DB6">
        <w:rPr>
          <w:noProof/>
          <w:szCs w:val="18"/>
        </w:rPr>
        <w:t> </w:t>
      </w:r>
      <w:r w:rsidR="003C4DB6">
        <w:rPr>
          <w:noProof/>
          <w:szCs w:val="18"/>
        </w:rPr>
        <w:t> </w:t>
      </w:r>
      <w:r w:rsidR="003C4DB6">
        <w:rPr>
          <w:noProof/>
          <w:szCs w:val="18"/>
        </w:rPr>
        <w:t> </w:t>
      </w:r>
      <w:r w:rsidR="003C4DB6">
        <w:rPr>
          <w:noProof/>
          <w:szCs w:val="18"/>
        </w:rPr>
        <w:t> </w:t>
      </w:r>
      <w:r w:rsidR="003C4DB6">
        <w:rPr>
          <w:noProof/>
          <w:szCs w:val="18"/>
        </w:rPr>
        <w:t> </w:t>
      </w:r>
      <w:r w:rsidR="003C4DB6">
        <w:rPr>
          <w:szCs w:val="18"/>
        </w:rPr>
        <w:fldChar w:fldCharType="end"/>
      </w:r>
    </w:p>
    <w:p w14:paraId="38123ED2" w14:textId="77777777" w:rsidR="001246D2" w:rsidRPr="004829F6" w:rsidRDefault="001246D2" w:rsidP="00DB7096">
      <w:pPr>
        <w:pStyle w:val="NormalHuge"/>
      </w:pPr>
      <w:r w:rsidRPr="004829F6">
        <w:t>Ci-après dénommé(s) « </w:t>
      </w:r>
      <w:r w:rsidRPr="004829F6">
        <w:rPr>
          <w:rStyle w:val="NormalBoldCar"/>
        </w:rPr>
        <w:t>le Mandant</w:t>
      </w:r>
      <w:r w:rsidRPr="004829F6">
        <w:t> » ou « </w:t>
      </w:r>
      <w:r w:rsidRPr="004829F6">
        <w:rPr>
          <w:rStyle w:val="NormalBoldCar"/>
        </w:rPr>
        <w:t>le CLIENT</w:t>
      </w:r>
      <w:r w:rsidRPr="004829F6">
        <w:t> »</w:t>
      </w:r>
    </w:p>
    <w:p w14:paraId="2F00C0D4" w14:textId="77777777" w:rsidR="001246D2" w:rsidRPr="004829F6" w:rsidRDefault="001246D2" w:rsidP="00DB7096">
      <w:pPr>
        <w:pStyle w:val="NormalHuge"/>
      </w:pPr>
      <w:r w:rsidRPr="004829F6">
        <w:t>Et :</w:t>
      </w:r>
    </w:p>
    <w:p w14:paraId="76371DF7" w14:textId="77777777" w:rsidR="004B6A40" w:rsidRPr="004829F6" w:rsidRDefault="004B6A40" w:rsidP="004B6A40">
      <w:pPr>
        <w:pStyle w:val="NormalHuge"/>
      </w:pPr>
      <w:r w:rsidRPr="004829F6">
        <w:t>La Banque Populaire Rives de Paris,</w:t>
      </w:r>
    </w:p>
    <w:p w14:paraId="6C0763E7" w14:textId="219F9B72" w:rsidR="004B6A40" w:rsidRPr="004829F6" w:rsidRDefault="004B6A40" w:rsidP="004B6A40">
      <w:pPr>
        <w:pStyle w:val="NormalHuge"/>
      </w:pPr>
      <w:r w:rsidRPr="004829F6">
        <w:t xml:space="preserve">Société anonyme coopérative de Banque Populaire à capital variable, régie par les articles L512-2 et suivants du Code Monétaire et Financier et l’ensemble des textes relatifs aux Banques et aux établissements de crédit – 552 002 313 RCS Paris – Société immatriculée au Registre des Intermédiaires en Assurances sous le n° 07 022 545 – Numéro d’identification intracommunautaire FR 59552 002 313 – Code APE 6419 Z, dont le siège social est </w:t>
      </w:r>
      <w:r w:rsidR="00D44B25" w:rsidRPr="004829F6">
        <w:t>80 boulevard Auguste Blanqui</w:t>
      </w:r>
      <w:r w:rsidRPr="004829F6">
        <w:t xml:space="preserve"> - 75204 Paris Cedex 13 - Téléphone : 01 73 07 48 37 Télécopie : 01 73 07 78 05, représentée par M. </w:t>
      </w:r>
      <w:r w:rsidR="00D44B25" w:rsidRPr="004829F6">
        <w:t>Boris JOSEPH</w:t>
      </w:r>
      <w:r w:rsidRPr="004829F6">
        <w:t>, agissant en sa qualité de Directeur Général, dûment habilité aux fins des présentes</w:t>
      </w:r>
    </w:p>
    <w:p w14:paraId="1788CD30" w14:textId="77777777" w:rsidR="001246D2" w:rsidRPr="004829F6" w:rsidRDefault="001246D2" w:rsidP="00DB7096">
      <w:pPr>
        <w:pStyle w:val="NormalHuge"/>
      </w:pPr>
      <w:r w:rsidRPr="004829F6">
        <w:t>Ci-après dénommée « </w:t>
      </w:r>
      <w:r w:rsidRPr="004829F6">
        <w:rPr>
          <w:rStyle w:val="NormalBoldCar"/>
        </w:rPr>
        <w:t>la BANQUE</w:t>
      </w:r>
      <w:r w:rsidRPr="004829F6">
        <w:t> » ou « </w:t>
      </w:r>
      <w:r w:rsidRPr="004829F6">
        <w:rPr>
          <w:rStyle w:val="NormalBoldCar"/>
        </w:rPr>
        <w:t>le Mandataire</w:t>
      </w:r>
      <w:r w:rsidRPr="004829F6">
        <w:t> ».</w:t>
      </w:r>
    </w:p>
    <w:p w14:paraId="1730B774" w14:textId="77777777" w:rsidR="00D45D58" w:rsidRPr="004829F6" w:rsidRDefault="001246D2" w:rsidP="00DB7096">
      <w:pPr>
        <w:pStyle w:val="NormalHuge"/>
      </w:pPr>
      <w:r w:rsidRPr="004829F6">
        <w:t>Ci-après dénommés ensemble « </w:t>
      </w:r>
      <w:r w:rsidRPr="004829F6">
        <w:rPr>
          <w:rStyle w:val="NormalBoldCar"/>
        </w:rPr>
        <w:t>les Parties </w:t>
      </w:r>
      <w:r w:rsidRPr="004829F6">
        <w:t>» et séparément « </w:t>
      </w:r>
      <w:r w:rsidRPr="004829F6">
        <w:rPr>
          <w:rStyle w:val="NormalBoldCar"/>
        </w:rPr>
        <w:t>une Partie</w:t>
      </w:r>
      <w:r w:rsidRPr="004829F6">
        <w:t> ».</w:t>
      </w:r>
      <w:r w:rsidR="00D45D58" w:rsidRPr="004829F6">
        <w:t xml:space="preserve"> </w:t>
      </w:r>
    </w:p>
    <w:p w14:paraId="212BF357" w14:textId="77777777" w:rsidR="00D45D58" w:rsidRPr="004829F6" w:rsidRDefault="00D45D58" w:rsidP="00DB7096">
      <w:pPr>
        <w:pStyle w:val="NormalHuge"/>
      </w:pPr>
    </w:p>
    <w:tbl>
      <w:tblPr>
        <w:tblStyle w:val="Grilledutableau"/>
        <w:tblW w:w="0" w:type="auto"/>
        <w:jc w:val="center"/>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2616"/>
        <w:gridCol w:w="2617"/>
        <w:gridCol w:w="2616"/>
        <w:gridCol w:w="2617"/>
      </w:tblGrid>
      <w:tr w:rsidR="001246D2" w:rsidRPr="004829F6" w14:paraId="01728383" w14:textId="77777777" w:rsidTr="00F47FB6">
        <w:trPr>
          <w:jc w:val="center"/>
        </w:trPr>
        <w:tc>
          <w:tcPr>
            <w:tcW w:w="10466" w:type="dxa"/>
            <w:gridSpan w:val="4"/>
            <w:tcBorders>
              <w:top w:val="nil"/>
              <w:left w:val="nil"/>
              <w:bottom w:val="nil"/>
              <w:right w:val="nil"/>
            </w:tcBorders>
          </w:tcPr>
          <w:p w14:paraId="530EFFA7" w14:textId="027649AA" w:rsidR="001246D2" w:rsidRPr="004829F6" w:rsidRDefault="001246D2" w:rsidP="0072102B">
            <w:pPr>
              <w:pStyle w:val="Titre1"/>
            </w:pPr>
            <w:r w:rsidRPr="004829F6">
              <w:t>Identification du compte d’instruments financiers</w:t>
            </w:r>
          </w:p>
        </w:tc>
      </w:tr>
      <w:tr w:rsidR="00CD5EDB" w:rsidRPr="004829F6" w14:paraId="5087AA9C" w14:textId="77777777" w:rsidTr="00CD5EDB">
        <w:trPr>
          <w:jc w:val="center"/>
        </w:trPr>
        <w:tc>
          <w:tcPr>
            <w:tcW w:w="2616" w:type="dxa"/>
            <w:tcBorders>
              <w:top w:val="nil"/>
              <w:left w:val="nil"/>
              <w:bottom w:val="nil"/>
              <w:right w:val="single" w:sz="4" w:space="0" w:color="auto"/>
            </w:tcBorders>
          </w:tcPr>
          <w:p w14:paraId="212BE3E7" w14:textId="0E9D90D2" w:rsidR="00CD5EDB" w:rsidRPr="004829F6" w:rsidRDefault="005525F2" w:rsidP="00B73114">
            <w:pPr>
              <w:pStyle w:val="NormalTableau"/>
            </w:pPr>
            <w:sdt>
              <w:sdtPr>
                <w:id w:val="-1195844364"/>
                <w14:checkbox>
                  <w14:checked w14:val="0"/>
                  <w14:checkedState w14:val="2612" w14:font="MS Gothic"/>
                  <w14:uncheckedState w14:val="2610" w14:font="MS Gothic"/>
                </w14:checkbox>
              </w:sdtPr>
              <w:sdtEndPr/>
              <w:sdtContent>
                <w:r w:rsidR="00524BC5">
                  <w:rPr>
                    <w:rFonts w:ascii="MS Gothic" w:eastAsia="MS Gothic" w:hAnsi="MS Gothic" w:hint="eastAsia"/>
                  </w:rPr>
                  <w:t>☐</w:t>
                </w:r>
              </w:sdtContent>
            </w:sdt>
            <w:r w:rsidR="00CD5EDB" w:rsidRPr="004829F6">
              <w:t>Compte n</w:t>
            </w:r>
            <w:r w:rsidR="00F7753F" w:rsidRPr="004829F6">
              <w:t>°</w:t>
            </w:r>
            <w:r w:rsidR="00CD5EDB" w:rsidRPr="004829F6">
              <w:t> :</w:t>
            </w:r>
          </w:p>
        </w:tc>
        <w:tc>
          <w:tcPr>
            <w:tcW w:w="2617" w:type="dxa"/>
            <w:tcBorders>
              <w:top w:val="nil"/>
              <w:left w:val="single" w:sz="4" w:space="0" w:color="auto"/>
              <w:bottom w:val="nil"/>
              <w:right w:val="nil"/>
            </w:tcBorders>
          </w:tcPr>
          <w:p w14:paraId="2BD2C7F2" w14:textId="3F1134CF" w:rsidR="00CD5EDB" w:rsidRPr="004829F6" w:rsidRDefault="003C4DB6" w:rsidP="00B73114">
            <w:pPr>
              <w:pStyle w:val="NormalTableau"/>
            </w:pPr>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616" w:type="dxa"/>
            <w:tcBorders>
              <w:top w:val="nil"/>
              <w:left w:val="nil"/>
              <w:bottom w:val="nil"/>
              <w:right w:val="nil"/>
            </w:tcBorders>
          </w:tcPr>
          <w:p w14:paraId="504D68A4" w14:textId="77777777" w:rsidR="00CD5EDB" w:rsidRPr="004829F6" w:rsidRDefault="00CD5EDB" w:rsidP="00B73114">
            <w:pPr>
              <w:pStyle w:val="NormalTableau"/>
            </w:pPr>
          </w:p>
        </w:tc>
        <w:tc>
          <w:tcPr>
            <w:tcW w:w="2617" w:type="dxa"/>
            <w:tcBorders>
              <w:top w:val="nil"/>
              <w:left w:val="nil"/>
              <w:bottom w:val="nil"/>
              <w:right w:val="nil"/>
            </w:tcBorders>
          </w:tcPr>
          <w:p w14:paraId="44B435FB" w14:textId="77777777" w:rsidR="00CD5EDB" w:rsidRPr="004829F6" w:rsidRDefault="00CD5EDB" w:rsidP="00B73114">
            <w:pPr>
              <w:pStyle w:val="NormalTableau"/>
            </w:pPr>
          </w:p>
        </w:tc>
      </w:tr>
      <w:tr w:rsidR="00CD5EDB" w:rsidRPr="004829F6" w14:paraId="6D45C616" w14:textId="77777777" w:rsidTr="00CD5EDB">
        <w:trPr>
          <w:jc w:val="center"/>
        </w:trPr>
        <w:tc>
          <w:tcPr>
            <w:tcW w:w="2616" w:type="dxa"/>
            <w:tcBorders>
              <w:top w:val="nil"/>
              <w:left w:val="nil"/>
              <w:bottom w:val="nil"/>
              <w:right w:val="single" w:sz="4" w:space="0" w:color="auto"/>
            </w:tcBorders>
          </w:tcPr>
          <w:p w14:paraId="7FA906FF" w14:textId="43C3ADA8" w:rsidR="00CD5EDB" w:rsidRPr="004829F6" w:rsidRDefault="005525F2" w:rsidP="00B73114">
            <w:pPr>
              <w:pStyle w:val="NormalTableau"/>
            </w:pPr>
            <w:sdt>
              <w:sdtPr>
                <w:id w:val="-1635627543"/>
                <w14:checkbox>
                  <w14:checked w14:val="0"/>
                  <w14:checkedState w14:val="2612" w14:font="MS Gothic"/>
                  <w14:uncheckedState w14:val="2610" w14:font="MS Gothic"/>
                </w14:checkbox>
              </w:sdtPr>
              <w:sdtEndPr/>
              <w:sdtContent>
                <w:r w:rsidR="00524BC5">
                  <w:rPr>
                    <w:rFonts w:ascii="MS Gothic" w:eastAsia="MS Gothic" w:hAnsi="MS Gothic" w:hint="eastAsia"/>
                  </w:rPr>
                  <w:t>☐</w:t>
                </w:r>
              </w:sdtContent>
            </w:sdt>
            <w:r w:rsidR="00CD5EDB" w:rsidRPr="004829F6">
              <w:t>Reprise du compte ouvert dans :</w:t>
            </w:r>
          </w:p>
        </w:tc>
        <w:tc>
          <w:tcPr>
            <w:tcW w:w="2617" w:type="dxa"/>
            <w:tcBorders>
              <w:top w:val="nil"/>
              <w:left w:val="single" w:sz="4" w:space="0" w:color="auto"/>
              <w:bottom w:val="nil"/>
              <w:right w:val="nil"/>
            </w:tcBorders>
          </w:tcPr>
          <w:p w14:paraId="127E6D29" w14:textId="43BA1AA1" w:rsidR="00CD5EDB" w:rsidRPr="004829F6" w:rsidRDefault="003C4DB6" w:rsidP="00B73114">
            <w:pPr>
              <w:pStyle w:val="NormalTableau"/>
            </w:pPr>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616" w:type="dxa"/>
            <w:tcBorders>
              <w:top w:val="nil"/>
              <w:left w:val="nil"/>
              <w:bottom w:val="nil"/>
              <w:right w:val="nil"/>
            </w:tcBorders>
          </w:tcPr>
          <w:p w14:paraId="172E6F93" w14:textId="77777777" w:rsidR="00CD5EDB" w:rsidRPr="004829F6" w:rsidRDefault="00CD5EDB" w:rsidP="00B73114">
            <w:pPr>
              <w:pStyle w:val="NormalTableau"/>
            </w:pPr>
          </w:p>
        </w:tc>
        <w:tc>
          <w:tcPr>
            <w:tcW w:w="2617" w:type="dxa"/>
            <w:tcBorders>
              <w:top w:val="nil"/>
              <w:left w:val="nil"/>
              <w:bottom w:val="nil"/>
              <w:right w:val="nil"/>
            </w:tcBorders>
          </w:tcPr>
          <w:p w14:paraId="6B7B1E49" w14:textId="3E5A6CA7" w:rsidR="00CD5EDB" w:rsidRPr="004829F6" w:rsidRDefault="00CD5EDB" w:rsidP="00591E2C">
            <w:pPr>
              <w:pStyle w:val="NormalTableau"/>
            </w:pPr>
            <w:r w:rsidRPr="004829F6">
              <w:t xml:space="preserve">, le </w:t>
            </w:r>
            <w:r w:rsidR="003C4DB6">
              <w:rPr>
                <w:szCs w:val="18"/>
              </w:rPr>
              <w:fldChar w:fldCharType="begin">
                <w:ffData>
                  <w:name w:val="Texte1"/>
                  <w:enabled/>
                  <w:calcOnExit w:val="0"/>
                  <w:textInput/>
                </w:ffData>
              </w:fldChar>
            </w:r>
            <w:r w:rsidR="003C4DB6">
              <w:rPr>
                <w:szCs w:val="18"/>
              </w:rPr>
              <w:instrText xml:space="preserve"> FORMTEXT </w:instrText>
            </w:r>
            <w:r w:rsidR="003C4DB6">
              <w:rPr>
                <w:szCs w:val="18"/>
              </w:rPr>
            </w:r>
            <w:r w:rsidR="003C4DB6">
              <w:rPr>
                <w:szCs w:val="18"/>
              </w:rPr>
              <w:fldChar w:fldCharType="separate"/>
            </w:r>
            <w:r w:rsidR="003C4DB6">
              <w:rPr>
                <w:noProof/>
                <w:szCs w:val="18"/>
              </w:rPr>
              <w:t> </w:t>
            </w:r>
            <w:r w:rsidR="003C4DB6">
              <w:rPr>
                <w:noProof/>
                <w:szCs w:val="18"/>
              </w:rPr>
              <w:t> </w:t>
            </w:r>
            <w:r w:rsidR="003C4DB6">
              <w:rPr>
                <w:noProof/>
                <w:szCs w:val="18"/>
              </w:rPr>
              <w:t> </w:t>
            </w:r>
            <w:r w:rsidR="003C4DB6">
              <w:rPr>
                <w:noProof/>
                <w:szCs w:val="18"/>
              </w:rPr>
              <w:t> </w:t>
            </w:r>
            <w:r w:rsidR="003C4DB6">
              <w:rPr>
                <w:noProof/>
                <w:szCs w:val="18"/>
              </w:rPr>
              <w:t> </w:t>
            </w:r>
            <w:r w:rsidR="003C4DB6">
              <w:rPr>
                <w:szCs w:val="18"/>
              </w:rPr>
              <w:fldChar w:fldCharType="end"/>
            </w:r>
          </w:p>
        </w:tc>
      </w:tr>
      <w:tr w:rsidR="00CD5EDB" w:rsidRPr="004829F6" w14:paraId="7CB0BC9D" w14:textId="77777777" w:rsidTr="00CD5EDB">
        <w:trPr>
          <w:jc w:val="center"/>
        </w:trPr>
        <w:tc>
          <w:tcPr>
            <w:tcW w:w="2616" w:type="dxa"/>
            <w:tcBorders>
              <w:top w:val="nil"/>
              <w:left w:val="nil"/>
              <w:bottom w:val="nil"/>
              <w:right w:val="single" w:sz="4" w:space="0" w:color="auto"/>
            </w:tcBorders>
          </w:tcPr>
          <w:p w14:paraId="28CD25AA" w14:textId="3DFE345A" w:rsidR="00CD5EDB" w:rsidRPr="004829F6" w:rsidRDefault="005525F2" w:rsidP="00B73114">
            <w:pPr>
              <w:pStyle w:val="NormalTableau"/>
            </w:pPr>
            <w:sdt>
              <w:sdtPr>
                <w:id w:val="1774670557"/>
                <w14:checkbox>
                  <w14:checked w14:val="0"/>
                  <w14:checkedState w14:val="2612" w14:font="MS Gothic"/>
                  <w14:uncheckedState w14:val="2610" w14:font="MS Gothic"/>
                </w14:checkbox>
              </w:sdtPr>
              <w:sdtEndPr/>
              <w:sdtContent>
                <w:r w:rsidR="00524BC5">
                  <w:rPr>
                    <w:rFonts w:ascii="MS Gothic" w:eastAsia="MS Gothic" w:hAnsi="MS Gothic" w:hint="eastAsia"/>
                  </w:rPr>
                  <w:t>☐</w:t>
                </w:r>
              </w:sdtContent>
            </w:sdt>
            <w:r w:rsidR="00CD5EDB" w:rsidRPr="004829F6">
              <w:t>Ouverture de compte :</w:t>
            </w:r>
          </w:p>
        </w:tc>
        <w:tc>
          <w:tcPr>
            <w:tcW w:w="2617" w:type="dxa"/>
            <w:tcBorders>
              <w:top w:val="nil"/>
              <w:left w:val="single" w:sz="4" w:space="0" w:color="auto"/>
              <w:bottom w:val="nil"/>
              <w:right w:val="nil"/>
            </w:tcBorders>
          </w:tcPr>
          <w:p w14:paraId="612AC558" w14:textId="2DDCA6CE" w:rsidR="00CD5EDB" w:rsidRPr="004829F6" w:rsidRDefault="003C4DB6" w:rsidP="00B73114">
            <w:pPr>
              <w:pStyle w:val="NormalTableau"/>
            </w:pPr>
            <w:r>
              <w:t xml:space="preserve"> </w:t>
            </w:r>
          </w:p>
        </w:tc>
        <w:tc>
          <w:tcPr>
            <w:tcW w:w="2616" w:type="dxa"/>
            <w:tcBorders>
              <w:top w:val="nil"/>
              <w:left w:val="nil"/>
              <w:bottom w:val="nil"/>
              <w:right w:val="nil"/>
            </w:tcBorders>
          </w:tcPr>
          <w:p w14:paraId="40E1B1F6" w14:textId="77777777" w:rsidR="00CD5EDB" w:rsidRPr="004829F6" w:rsidRDefault="00CD5EDB" w:rsidP="00B73114">
            <w:pPr>
              <w:pStyle w:val="NormalTableau"/>
            </w:pPr>
          </w:p>
        </w:tc>
        <w:tc>
          <w:tcPr>
            <w:tcW w:w="2617" w:type="dxa"/>
            <w:tcBorders>
              <w:top w:val="nil"/>
              <w:left w:val="nil"/>
              <w:bottom w:val="nil"/>
              <w:right w:val="nil"/>
            </w:tcBorders>
          </w:tcPr>
          <w:p w14:paraId="2D7500E9" w14:textId="77777777" w:rsidR="00CD5EDB" w:rsidRPr="004829F6" w:rsidRDefault="00CD5EDB" w:rsidP="00B73114">
            <w:pPr>
              <w:pStyle w:val="NormalTableau"/>
            </w:pPr>
          </w:p>
        </w:tc>
      </w:tr>
      <w:tr w:rsidR="00CD5EDB" w:rsidRPr="004829F6" w14:paraId="76EFCAD3" w14:textId="77777777" w:rsidTr="00CD5EDB">
        <w:trPr>
          <w:jc w:val="center"/>
        </w:trPr>
        <w:tc>
          <w:tcPr>
            <w:tcW w:w="2616" w:type="dxa"/>
            <w:tcBorders>
              <w:top w:val="nil"/>
              <w:left w:val="nil"/>
              <w:bottom w:val="nil"/>
              <w:right w:val="single" w:sz="4" w:space="0" w:color="auto"/>
            </w:tcBorders>
          </w:tcPr>
          <w:p w14:paraId="2340C84D" w14:textId="12573C84" w:rsidR="00CD5EDB" w:rsidRPr="004829F6" w:rsidRDefault="00CD5EDB" w:rsidP="00B73114">
            <w:pPr>
              <w:pStyle w:val="NormalTableau"/>
            </w:pPr>
            <w:r w:rsidRPr="004829F6">
              <w:t>Nature juridique :</w:t>
            </w:r>
          </w:p>
        </w:tc>
        <w:tc>
          <w:tcPr>
            <w:tcW w:w="2617" w:type="dxa"/>
            <w:tcBorders>
              <w:top w:val="nil"/>
              <w:left w:val="single" w:sz="4" w:space="0" w:color="auto"/>
              <w:bottom w:val="nil"/>
              <w:right w:val="nil"/>
            </w:tcBorders>
          </w:tcPr>
          <w:p w14:paraId="0750EFCB" w14:textId="516AC2A8" w:rsidR="00CD5EDB" w:rsidRPr="004829F6" w:rsidRDefault="005525F2" w:rsidP="00B73114">
            <w:pPr>
              <w:pStyle w:val="NormalTableau"/>
            </w:pPr>
            <w:sdt>
              <w:sdtPr>
                <w:id w:val="895711964"/>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CD5EDB" w:rsidRPr="004829F6">
              <w:t>Compte individuel</w:t>
            </w:r>
          </w:p>
        </w:tc>
        <w:tc>
          <w:tcPr>
            <w:tcW w:w="2616" w:type="dxa"/>
            <w:tcBorders>
              <w:top w:val="nil"/>
              <w:left w:val="nil"/>
              <w:bottom w:val="nil"/>
              <w:right w:val="nil"/>
            </w:tcBorders>
          </w:tcPr>
          <w:p w14:paraId="470BEC9A" w14:textId="3CD25D0D" w:rsidR="00CD5EDB" w:rsidRPr="004829F6" w:rsidRDefault="005525F2" w:rsidP="00B73114">
            <w:pPr>
              <w:pStyle w:val="NormalTableau"/>
            </w:pPr>
            <w:sdt>
              <w:sdtPr>
                <w:id w:val="-587459651"/>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CD5EDB" w:rsidRPr="004829F6">
              <w:t>Compte joint</w:t>
            </w:r>
          </w:p>
        </w:tc>
        <w:tc>
          <w:tcPr>
            <w:tcW w:w="2617" w:type="dxa"/>
            <w:tcBorders>
              <w:top w:val="nil"/>
              <w:left w:val="nil"/>
              <w:bottom w:val="nil"/>
              <w:right w:val="nil"/>
            </w:tcBorders>
          </w:tcPr>
          <w:p w14:paraId="2F80B014" w14:textId="015D1483" w:rsidR="00CD5EDB" w:rsidRPr="004829F6" w:rsidRDefault="005525F2" w:rsidP="00FD03ED">
            <w:pPr>
              <w:pStyle w:val="NormalTableau"/>
            </w:pPr>
            <w:sdt>
              <w:sdtPr>
                <w:id w:val="600381621"/>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CD5EDB" w:rsidRPr="004829F6">
              <w:t xml:space="preserve">Compte </w:t>
            </w:r>
            <w:r w:rsidR="00FD03ED" w:rsidRPr="004829F6">
              <w:t xml:space="preserve">indivis </w:t>
            </w:r>
          </w:p>
        </w:tc>
      </w:tr>
      <w:tr w:rsidR="00CD5EDB" w:rsidRPr="004829F6" w14:paraId="739B1E1E" w14:textId="77777777" w:rsidTr="00CD5EDB">
        <w:trPr>
          <w:jc w:val="center"/>
        </w:trPr>
        <w:tc>
          <w:tcPr>
            <w:tcW w:w="2616" w:type="dxa"/>
            <w:tcBorders>
              <w:top w:val="nil"/>
              <w:left w:val="nil"/>
              <w:bottom w:val="nil"/>
              <w:right w:val="single" w:sz="4" w:space="0" w:color="auto"/>
            </w:tcBorders>
          </w:tcPr>
          <w:p w14:paraId="6844FF81" w14:textId="77777777" w:rsidR="00CD5EDB" w:rsidRPr="004829F6" w:rsidRDefault="00CD5EDB" w:rsidP="00B73114">
            <w:pPr>
              <w:pStyle w:val="NormalTableau"/>
            </w:pPr>
          </w:p>
        </w:tc>
        <w:tc>
          <w:tcPr>
            <w:tcW w:w="2617" w:type="dxa"/>
            <w:tcBorders>
              <w:top w:val="nil"/>
              <w:left w:val="single" w:sz="4" w:space="0" w:color="auto"/>
              <w:bottom w:val="nil"/>
              <w:right w:val="nil"/>
            </w:tcBorders>
          </w:tcPr>
          <w:p w14:paraId="1DFAFBE5" w14:textId="73C2F177" w:rsidR="00CD5EDB" w:rsidRPr="004829F6" w:rsidRDefault="005525F2" w:rsidP="00B73114">
            <w:pPr>
              <w:pStyle w:val="NormalTableau"/>
            </w:pPr>
            <w:sdt>
              <w:sdtPr>
                <w:id w:val="-914933160"/>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CD5EDB" w:rsidRPr="004829F6">
              <w:t>Compte en pleine</w:t>
            </w:r>
            <w:r w:rsidR="00ED79D8" w:rsidRPr="004829F6">
              <w:t xml:space="preserve"> propriété</w:t>
            </w:r>
          </w:p>
          <w:p w14:paraId="3A0AE5A2" w14:textId="3949F94B" w:rsidR="00ED79D8" w:rsidRPr="004829F6" w:rsidRDefault="00ED79D8" w:rsidP="00FD03ED">
            <w:pPr>
              <w:pStyle w:val="NormalTableau"/>
            </w:pPr>
          </w:p>
        </w:tc>
        <w:tc>
          <w:tcPr>
            <w:tcW w:w="5233" w:type="dxa"/>
            <w:gridSpan w:val="2"/>
            <w:tcBorders>
              <w:top w:val="nil"/>
              <w:left w:val="nil"/>
              <w:bottom w:val="nil"/>
              <w:right w:val="nil"/>
            </w:tcBorders>
          </w:tcPr>
          <w:p w14:paraId="4F1855A9" w14:textId="21658675" w:rsidR="00CD5EDB" w:rsidRPr="004829F6" w:rsidRDefault="005525F2" w:rsidP="00B73114">
            <w:pPr>
              <w:pStyle w:val="NormalTableau"/>
            </w:pPr>
            <w:sdt>
              <w:sdtPr>
                <w:id w:val="-10686729"/>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CD5EDB" w:rsidRPr="004829F6">
              <w:t>Compte avec démembrement de propriété</w:t>
            </w:r>
          </w:p>
        </w:tc>
      </w:tr>
      <w:tr w:rsidR="00CD5EDB" w:rsidRPr="004829F6" w14:paraId="266C3B20" w14:textId="77777777" w:rsidTr="00F7753F">
        <w:trPr>
          <w:jc w:val="center"/>
        </w:trPr>
        <w:tc>
          <w:tcPr>
            <w:tcW w:w="2616" w:type="dxa"/>
            <w:tcBorders>
              <w:top w:val="nil"/>
              <w:left w:val="nil"/>
              <w:bottom w:val="nil"/>
              <w:right w:val="single" w:sz="4" w:space="0" w:color="auto"/>
            </w:tcBorders>
          </w:tcPr>
          <w:p w14:paraId="20DF4A0E" w14:textId="77777777" w:rsidR="00CD5EDB" w:rsidRPr="004829F6" w:rsidRDefault="00CD5EDB" w:rsidP="00B73114">
            <w:pPr>
              <w:pStyle w:val="NormalTableau"/>
            </w:pPr>
            <w:r w:rsidRPr="004829F6">
              <w:t>Catégorie juridique de compte :</w:t>
            </w:r>
          </w:p>
        </w:tc>
        <w:tc>
          <w:tcPr>
            <w:tcW w:w="2617" w:type="dxa"/>
            <w:tcBorders>
              <w:top w:val="nil"/>
              <w:left w:val="single" w:sz="4" w:space="0" w:color="auto"/>
              <w:bottom w:val="nil"/>
              <w:right w:val="nil"/>
            </w:tcBorders>
          </w:tcPr>
          <w:p w14:paraId="3128B6F4" w14:textId="428DC51C" w:rsidR="00CD5EDB" w:rsidRPr="004829F6" w:rsidRDefault="005525F2" w:rsidP="00B73114">
            <w:pPr>
              <w:pStyle w:val="NormalTableau"/>
            </w:pPr>
            <w:sdt>
              <w:sdtPr>
                <w:id w:val="2119486379"/>
                <w14:checkbox>
                  <w14:checked w14:val="0"/>
                  <w14:checkedState w14:val="2612" w14:font="MS Gothic"/>
                  <w14:uncheckedState w14:val="2610" w14:font="MS Gothic"/>
                </w14:checkbox>
              </w:sdtPr>
              <w:sdtEndPr/>
              <w:sdtContent>
                <w:r w:rsidR="00084F07">
                  <w:rPr>
                    <w:rFonts w:ascii="MS Gothic" w:eastAsia="MS Gothic" w:hAnsi="MS Gothic" w:hint="eastAsia"/>
                  </w:rPr>
                  <w:t>☐</w:t>
                </w:r>
              </w:sdtContent>
            </w:sdt>
            <w:r w:rsidR="00CD5EDB" w:rsidRPr="004829F6">
              <w:t>Compte-titres</w:t>
            </w:r>
          </w:p>
        </w:tc>
        <w:tc>
          <w:tcPr>
            <w:tcW w:w="2616" w:type="dxa"/>
            <w:tcBorders>
              <w:top w:val="nil"/>
              <w:left w:val="nil"/>
              <w:bottom w:val="nil"/>
              <w:right w:val="nil"/>
            </w:tcBorders>
          </w:tcPr>
          <w:p w14:paraId="360375BD" w14:textId="30E38DF0" w:rsidR="00CD5EDB" w:rsidRPr="004829F6" w:rsidRDefault="005525F2" w:rsidP="00B73114">
            <w:pPr>
              <w:pStyle w:val="NormalTableau"/>
            </w:pPr>
            <w:sdt>
              <w:sdtPr>
                <w:id w:val="-1992088340"/>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CD5EDB" w:rsidRPr="004829F6">
              <w:t>Compte-titres PEA</w:t>
            </w:r>
          </w:p>
          <w:p w14:paraId="01FF8D81" w14:textId="14B9C3B6" w:rsidR="00BD0074" w:rsidRPr="004829F6" w:rsidRDefault="005525F2" w:rsidP="00B73114">
            <w:pPr>
              <w:pStyle w:val="NormalTableau"/>
            </w:pPr>
            <w:sdt>
              <w:sdtPr>
                <w:id w:val="-384170229"/>
                <w14:checkbox>
                  <w14:checked w14:val="0"/>
                  <w14:checkedState w14:val="2612" w14:font="MS Gothic"/>
                  <w14:uncheckedState w14:val="2610" w14:font="MS Gothic"/>
                </w14:checkbox>
              </w:sdtPr>
              <w:sdtEndPr/>
              <w:sdtContent>
                <w:r w:rsidR="00720D52">
                  <w:rPr>
                    <w:rFonts w:ascii="MS Gothic" w:eastAsia="MS Gothic" w:hAnsi="MS Gothic" w:hint="eastAsia"/>
                  </w:rPr>
                  <w:t>☐</w:t>
                </w:r>
              </w:sdtContent>
            </w:sdt>
            <w:r w:rsidR="00BD0074" w:rsidRPr="0004050C">
              <w:rPr>
                <w:rFonts w:eastAsia="MS Gothic"/>
              </w:rPr>
              <w:t xml:space="preserve"> </w:t>
            </w:r>
            <w:r w:rsidR="00BD0074" w:rsidRPr="004829F6">
              <w:rPr>
                <w:rFonts w:eastAsia="MS Gothic"/>
              </w:rPr>
              <w:t>Compte-titres PEA-PME</w:t>
            </w:r>
          </w:p>
        </w:tc>
        <w:tc>
          <w:tcPr>
            <w:tcW w:w="2617" w:type="dxa"/>
            <w:tcBorders>
              <w:top w:val="nil"/>
              <w:left w:val="nil"/>
              <w:bottom w:val="nil"/>
              <w:right w:val="nil"/>
            </w:tcBorders>
          </w:tcPr>
          <w:p w14:paraId="43E43FB1" w14:textId="77777777" w:rsidR="00CD5EDB" w:rsidRPr="004829F6" w:rsidRDefault="00CD5EDB" w:rsidP="00B73114">
            <w:pPr>
              <w:pStyle w:val="NormalTableau"/>
            </w:pPr>
          </w:p>
        </w:tc>
      </w:tr>
      <w:tr w:rsidR="00CD5EDB" w:rsidRPr="004829F6" w14:paraId="6780DCA0" w14:textId="77777777" w:rsidTr="00F7753F">
        <w:trPr>
          <w:jc w:val="center"/>
        </w:trPr>
        <w:tc>
          <w:tcPr>
            <w:tcW w:w="2616" w:type="dxa"/>
            <w:tcBorders>
              <w:top w:val="nil"/>
              <w:left w:val="nil"/>
              <w:bottom w:val="nil"/>
              <w:right w:val="single" w:sz="4" w:space="0" w:color="auto"/>
            </w:tcBorders>
          </w:tcPr>
          <w:p w14:paraId="21251298" w14:textId="77777777" w:rsidR="00CD5EDB" w:rsidRPr="004829F6" w:rsidRDefault="00CD5EDB" w:rsidP="00B73114">
            <w:pPr>
              <w:pStyle w:val="NormalTableau"/>
            </w:pPr>
            <w:r w:rsidRPr="004829F6">
              <w:t>Alimentation du compte :</w:t>
            </w:r>
          </w:p>
        </w:tc>
        <w:tc>
          <w:tcPr>
            <w:tcW w:w="2617" w:type="dxa"/>
            <w:tcBorders>
              <w:top w:val="nil"/>
              <w:left w:val="single" w:sz="4" w:space="0" w:color="auto"/>
              <w:bottom w:val="nil"/>
              <w:right w:val="nil"/>
            </w:tcBorders>
          </w:tcPr>
          <w:p w14:paraId="26470E23" w14:textId="77777777" w:rsidR="00CD5EDB" w:rsidRPr="004829F6" w:rsidRDefault="00CD5EDB" w:rsidP="00B73114">
            <w:pPr>
              <w:pStyle w:val="NormalTableau"/>
            </w:pPr>
          </w:p>
        </w:tc>
        <w:tc>
          <w:tcPr>
            <w:tcW w:w="2616" w:type="dxa"/>
            <w:tcBorders>
              <w:top w:val="nil"/>
              <w:left w:val="nil"/>
              <w:bottom w:val="nil"/>
              <w:right w:val="nil"/>
            </w:tcBorders>
          </w:tcPr>
          <w:p w14:paraId="0EF6220B" w14:textId="77777777" w:rsidR="00CD5EDB" w:rsidRPr="004829F6" w:rsidRDefault="00CD5EDB" w:rsidP="00B73114">
            <w:pPr>
              <w:pStyle w:val="NormalTableau"/>
            </w:pPr>
          </w:p>
        </w:tc>
        <w:tc>
          <w:tcPr>
            <w:tcW w:w="2617" w:type="dxa"/>
            <w:tcBorders>
              <w:top w:val="nil"/>
              <w:left w:val="nil"/>
              <w:bottom w:val="nil"/>
              <w:right w:val="nil"/>
            </w:tcBorders>
          </w:tcPr>
          <w:p w14:paraId="1384C4DC" w14:textId="77777777" w:rsidR="00CD5EDB" w:rsidRPr="004829F6" w:rsidRDefault="00CD5EDB" w:rsidP="00B73114">
            <w:pPr>
              <w:pStyle w:val="NormalTableau"/>
            </w:pPr>
          </w:p>
        </w:tc>
      </w:tr>
      <w:tr w:rsidR="00CD5EDB" w:rsidRPr="004829F6" w14:paraId="34ED9A65" w14:textId="77777777" w:rsidTr="00F7753F">
        <w:trPr>
          <w:jc w:val="center"/>
        </w:trPr>
        <w:tc>
          <w:tcPr>
            <w:tcW w:w="5233" w:type="dxa"/>
            <w:gridSpan w:val="2"/>
            <w:tcBorders>
              <w:top w:val="nil"/>
              <w:left w:val="nil"/>
              <w:bottom w:val="nil"/>
              <w:right w:val="single" w:sz="4" w:space="0" w:color="auto"/>
            </w:tcBorders>
          </w:tcPr>
          <w:p w14:paraId="559CC283" w14:textId="77777777" w:rsidR="00CD5EDB" w:rsidRPr="004829F6" w:rsidRDefault="00CD5EDB" w:rsidP="00691537">
            <w:pPr>
              <w:pStyle w:val="NormalTableau"/>
            </w:pPr>
            <w:r w:rsidRPr="004829F6">
              <w:t>Virement de titres</w:t>
            </w:r>
            <w:r w:rsidR="00691537" w:rsidRPr="004829F6">
              <w:rPr>
                <w:rStyle w:val="Appelnotedebasdep"/>
              </w:rPr>
              <w:footnoteReference w:id="1"/>
            </w:r>
            <w:r w:rsidRPr="004829F6">
              <w:t xml:space="preserve"> libres de tout nantissement et gage,</w:t>
            </w:r>
          </w:p>
        </w:tc>
        <w:tc>
          <w:tcPr>
            <w:tcW w:w="2616" w:type="dxa"/>
            <w:tcBorders>
              <w:top w:val="nil"/>
              <w:left w:val="single" w:sz="4" w:space="0" w:color="auto"/>
              <w:bottom w:val="nil"/>
              <w:right w:val="nil"/>
            </w:tcBorders>
          </w:tcPr>
          <w:p w14:paraId="79DEF401" w14:textId="77777777" w:rsidR="00CD5EDB" w:rsidRPr="004829F6" w:rsidRDefault="00CD5EDB" w:rsidP="00B73114">
            <w:pPr>
              <w:pStyle w:val="NormalTableau"/>
            </w:pPr>
          </w:p>
        </w:tc>
        <w:tc>
          <w:tcPr>
            <w:tcW w:w="2617" w:type="dxa"/>
            <w:tcBorders>
              <w:top w:val="nil"/>
              <w:left w:val="nil"/>
              <w:bottom w:val="nil"/>
              <w:right w:val="nil"/>
            </w:tcBorders>
          </w:tcPr>
          <w:p w14:paraId="7943B116" w14:textId="77777777" w:rsidR="00CD5EDB" w:rsidRPr="004829F6" w:rsidRDefault="00CD5EDB" w:rsidP="00B73114">
            <w:pPr>
              <w:pStyle w:val="NormalTableau"/>
            </w:pPr>
            <w:r w:rsidRPr="004829F6">
              <w:t>(Sauf PEA)</w:t>
            </w:r>
          </w:p>
        </w:tc>
      </w:tr>
      <w:tr w:rsidR="00CD5EDB" w:rsidRPr="004829F6" w14:paraId="38D7660A" w14:textId="77777777" w:rsidTr="00F47FB6">
        <w:trPr>
          <w:jc w:val="center"/>
        </w:trPr>
        <w:tc>
          <w:tcPr>
            <w:tcW w:w="2616" w:type="dxa"/>
            <w:tcBorders>
              <w:top w:val="nil"/>
              <w:left w:val="nil"/>
              <w:bottom w:val="nil"/>
              <w:right w:val="nil"/>
            </w:tcBorders>
          </w:tcPr>
          <w:p w14:paraId="1A48E2D8" w14:textId="77777777" w:rsidR="00CD5EDB" w:rsidRPr="004829F6" w:rsidRDefault="00CD5EDB" w:rsidP="00B73114">
            <w:pPr>
              <w:pStyle w:val="NormalTableau"/>
            </w:pPr>
          </w:p>
        </w:tc>
        <w:tc>
          <w:tcPr>
            <w:tcW w:w="2617" w:type="dxa"/>
            <w:tcBorders>
              <w:top w:val="nil"/>
              <w:left w:val="nil"/>
              <w:bottom w:val="nil"/>
              <w:right w:val="nil"/>
            </w:tcBorders>
          </w:tcPr>
          <w:p w14:paraId="79333D40" w14:textId="6AFA6FDF" w:rsidR="00CD5EDB" w:rsidRPr="004829F6" w:rsidRDefault="00AA192B" w:rsidP="00B73114">
            <w:pPr>
              <w:pStyle w:val="NormalTableau"/>
            </w:pPr>
            <w:r>
              <w:t xml:space="preserve"> </w:t>
            </w:r>
            <w:sdt>
              <w:sdtPr>
                <w:rPr>
                  <w:rFonts w:cs="Arial"/>
                  <w:noProof/>
                </w:rPr>
                <w:id w:val="-464578506"/>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t xml:space="preserve"> </w:t>
            </w:r>
            <w:r w:rsidR="00CD5EDB" w:rsidRPr="004829F6">
              <w:t>En totalité</w:t>
            </w:r>
          </w:p>
        </w:tc>
        <w:tc>
          <w:tcPr>
            <w:tcW w:w="2616" w:type="dxa"/>
            <w:tcBorders>
              <w:top w:val="nil"/>
              <w:left w:val="nil"/>
              <w:bottom w:val="nil"/>
              <w:right w:val="nil"/>
            </w:tcBorders>
          </w:tcPr>
          <w:p w14:paraId="3DC1B6B6" w14:textId="77777777" w:rsidR="00CD5EDB" w:rsidRPr="004829F6" w:rsidRDefault="00CD5EDB" w:rsidP="00B73114">
            <w:pPr>
              <w:pStyle w:val="NormalTableau"/>
            </w:pPr>
          </w:p>
        </w:tc>
        <w:tc>
          <w:tcPr>
            <w:tcW w:w="2617" w:type="dxa"/>
            <w:tcBorders>
              <w:top w:val="nil"/>
              <w:left w:val="nil"/>
              <w:bottom w:val="nil"/>
              <w:right w:val="nil"/>
            </w:tcBorders>
          </w:tcPr>
          <w:p w14:paraId="4B8B44B3" w14:textId="77777777" w:rsidR="00CD5EDB" w:rsidRPr="004829F6" w:rsidRDefault="00CD5EDB" w:rsidP="00B73114">
            <w:pPr>
              <w:pStyle w:val="NormalTableau"/>
            </w:pPr>
          </w:p>
        </w:tc>
      </w:tr>
      <w:tr w:rsidR="00CD5EDB" w:rsidRPr="004829F6" w14:paraId="6057B312" w14:textId="77777777" w:rsidTr="00042106">
        <w:trPr>
          <w:jc w:val="center"/>
        </w:trPr>
        <w:tc>
          <w:tcPr>
            <w:tcW w:w="2616" w:type="dxa"/>
            <w:tcBorders>
              <w:top w:val="nil"/>
              <w:left w:val="nil"/>
              <w:bottom w:val="nil"/>
              <w:right w:val="nil"/>
            </w:tcBorders>
          </w:tcPr>
          <w:p w14:paraId="3A724D66" w14:textId="77777777" w:rsidR="00CD5EDB" w:rsidRPr="004829F6" w:rsidRDefault="00CD5EDB" w:rsidP="00B73114">
            <w:pPr>
              <w:pStyle w:val="NormalTableau"/>
            </w:pPr>
          </w:p>
        </w:tc>
        <w:tc>
          <w:tcPr>
            <w:tcW w:w="2617" w:type="dxa"/>
            <w:tcBorders>
              <w:top w:val="nil"/>
              <w:left w:val="nil"/>
              <w:bottom w:val="nil"/>
              <w:right w:val="nil"/>
            </w:tcBorders>
          </w:tcPr>
          <w:p w14:paraId="4E100BA2" w14:textId="16B92F59" w:rsidR="00CD5EDB" w:rsidRPr="004829F6" w:rsidRDefault="00AA192B" w:rsidP="00B73114">
            <w:pPr>
              <w:pStyle w:val="NormalTableau"/>
            </w:pPr>
            <w:r>
              <w:t xml:space="preserve"> </w:t>
            </w:r>
            <w:sdt>
              <w:sdtPr>
                <w:rPr>
                  <w:rFonts w:cs="Arial"/>
                  <w:noProof/>
                </w:rPr>
                <w:id w:val="-89092441"/>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t xml:space="preserve">  </w:t>
            </w:r>
            <w:r w:rsidR="00CD5EDB" w:rsidRPr="004829F6">
              <w:t>Selon liste jointe</w:t>
            </w:r>
          </w:p>
        </w:tc>
        <w:tc>
          <w:tcPr>
            <w:tcW w:w="2616" w:type="dxa"/>
            <w:tcBorders>
              <w:top w:val="nil"/>
              <w:left w:val="nil"/>
              <w:bottom w:val="nil"/>
              <w:right w:val="nil"/>
            </w:tcBorders>
          </w:tcPr>
          <w:p w14:paraId="589B2DED" w14:textId="77777777" w:rsidR="00CD5EDB" w:rsidRPr="004829F6" w:rsidRDefault="00CD5EDB" w:rsidP="00B73114">
            <w:pPr>
              <w:pStyle w:val="NormalTableau"/>
            </w:pPr>
          </w:p>
        </w:tc>
        <w:tc>
          <w:tcPr>
            <w:tcW w:w="2617" w:type="dxa"/>
            <w:tcBorders>
              <w:top w:val="nil"/>
              <w:left w:val="nil"/>
              <w:bottom w:val="nil"/>
              <w:right w:val="nil"/>
            </w:tcBorders>
          </w:tcPr>
          <w:p w14:paraId="543DC266" w14:textId="77777777" w:rsidR="00CD5EDB" w:rsidRPr="004829F6" w:rsidRDefault="00CD5EDB" w:rsidP="00B73114">
            <w:pPr>
              <w:pStyle w:val="NormalTableau"/>
            </w:pPr>
          </w:p>
        </w:tc>
      </w:tr>
      <w:tr w:rsidR="00F7753F" w:rsidRPr="004829F6" w14:paraId="6493BD50" w14:textId="77777777" w:rsidTr="00F7753F">
        <w:trPr>
          <w:jc w:val="center"/>
        </w:trPr>
        <w:tc>
          <w:tcPr>
            <w:tcW w:w="2616" w:type="dxa"/>
            <w:tcBorders>
              <w:top w:val="nil"/>
              <w:left w:val="nil"/>
              <w:bottom w:val="nil"/>
              <w:right w:val="single" w:sz="4" w:space="0" w:color="auto"/>
            </w:tcBorders>
          </w:tcPr>
          <w:p w14:paraId="1F7DA896" w14:textId="69080CD7" w:rsidR="00CD5EDB" w:rsidRPr="004829F6" w:rsidRDefault="00CD5EDB" w:rsidP="00ED79D8">
            <w:pPr>
              <w:pStyle w:val="NormalTableau"/>
            </w:pPr>
            <w:r w:rsidRPr="004829F6">
              <w:t>Apport d’espèce</w:t>
            </w:r>
            <w:r w:rsidR="00077470" w:rsidRPr="004829F6">
              <w:t>s</w:t>
            </w:r>
            <w:r w:rsidRPr="004829F6">
              <w:t xml:space="preserve"> </w:t>
            </w:r>
          </w:p>
        </w:tc>
        <w:tc>
          <w:tcPr>
            <w:tcW w:w="2617" w:type="dxa"/>
            <w:tcBorders>
              <w:top w:val="nil"/>
              <w:left w:val="single" w:sz="4" w:space="0" w:color="auto"/>
              <w:bottom w:val="nil"/>
              <w:right w:val="nil"/>
            </w:tcBorders>
          </w:tcPr>
          <w:p w14:paraId="32B93D50" w14:textId="4A3C10BB" w:rsidR="00CD5EDB" w:rsidRPr="004829F6" w:rsidRDefault="00ED79D8" w:rsidP="00B73114">
            <w:pPr>
              <w:pStyle w:val="NormalTableau"/>
            </w:pPr>
            <w:r w:rsidRPr="004829F6">
              <w:t>Pour un montant de :</w:t>
            </w:r>
            <w:r w:rsidR="00AA192B">
              <w:t xml:space="preserve"> </w:t>
            </w:r>
            <w:bookmarkStart w:id="1" w:name="_Hlk153872568"/>
            <w:r w:rsidR="00AA192B">
              <w:rPr>
                <w:szCs w:val="18"/>
              </w:rPr>
              <w:fldChar w:fldCharType="begin">
                <w:ffData>
                  <w:name w:val="Texte1"/>
                  <w:enabled/>
                  <w:calcOnExit w:val="0"/>
                  <w:textInput/>
                </w:ffData>
              </w:fldChar>
            </w:r>
            <w:r w:rsidR="00AA192B">
              <w:rPr>
                <w:szCs w:val="18"/>
              </w:rPr>
              <w:instrText xml:space="preserve"> FORMTEXT </w:instrText>
            </w:r>
            <w:r w:rsidR="00AA192B">
              <w:rPr>
                <w:szCs w:val="18"/>
              </w:rPr>
            </w:r>
            <w:r w:rsidR="00AA192B">
              <w:rPr>
                <w:szCs w:val="18"/>
              </w:rPr>
              <w:fldChar w:fldCharType="separate"/>
            </w:r>
            <w:r w:rsidR="00AA192B">
              <w:rPr>
                <w:noProof/>
                <w:szCs w:val="18"/>
              </w:rPr>
              <w:t> </w:t>
            </w:r>
            <w:r w:rsidR="00AA192B">
              <w:rPr>
                <w:noProof/>
                <w:szCs w:val="18"/>
              </w:rPr>
              <w:t> </w:t>
            </w:r>
            <w:r w:rsidR="00AA192B">
              <w:rPr>
                <w:noProof/>
                <w:szCs w:val="18"/>
              </w:rPr>
              <w:t> </w:t>
            </w:r>
            <w:r w:rsidR="00AA192B">
              <w:rPr>
                <w:noProof/>
                <w:szCs w:val="18"/>
              </w:rPr>
              <w:t> </w:t>
            </w:r>
            <w:r w:rsidR="00AA192B">
              <w:rPr>
                <w:noProof/>
                <w:szCs w:val="18"/>
              </w:rPr>
              <w:t> </w:t>
            </w:r>
            <w:r w:rsidR="00AA192B">
              <w:rPr>
                <w:szCs w:val="18"/>
              </w:rPr>
              <w:fldChar w:fldCharType="end"/>
            </w:r>
            <w:bookmarkEnd w:id="1"/>
          </w:p>
        </w:tc>
        <w:tc>
          <w:tcPr>
            <w:tcW w:w="2616" w:type="dxa"/>
            <w:tcBorders>
              <w:top w:val="nil"/>
              <w:left w:val="nil"/>
              <w:bottom w:val="nil"/>
              <w:right w:val="nil"/>
            </w:tcBorders>
          </w:tcPr>
          <w:p w14:paraId="0771F018" w14:textId="77777777" w:rsidR="00CD5EDB" w:rsidRPr="004829F6" w:rsidRDefault="00CD5EDB" w:rsidP="00B73114">
            <w:pPr>
              <w:pStyle w:val="NormalTableau"/>
            </w:pPr>
          </w:p>
        </w:tc>
        <w:tc>
          <w:tcPr>
            <w:tcW w:w="2617" w:type="dxa"/>
            <w:tcBorders>
              <w:top w:val="nil"/>
              <w:left w:val="nil"/>
              <w:bottom w:val="nil"/>
              <w:right w:val="nil"/>
            </w:tcBorders>
          </w:tcPr>
          <w:p w14:paraId="39148DE1" w14:textId="77777777" w:rsidR="00CD5EDB" w:rsidRPr="004829F6" w:rsidRDefault="00CD5EDB" w:rsidP="00B73114">
            <w:pPr>
              <w:pStyle w:val="NormalTableau"/>
            </w:pPr>
          </w:p>
        </w:tc>
      </w:tr>
      <w:tr w:rsidR="00CD5EDB" w:rsidRPr="004829F6" w14:paraId="38D6ED95" w14:textId="77777777" w:rsidTr="00042106">
        <w:trPr>
          <w:jc w:val="center"/>
        </w:trPr>
        <w:tc>
          <w:tcPr>
            <w:tcW w:w="2616" w:type="dxa"/>
            <w:tcBorders>
              <w:top w:val="nil"/>
              <w:left w:val="nil"/>
              <w:bottom w:val="nil"/>
              <w:right w:val="single" w:sz="4" w:space="0" w:color="auto"/>
            </w:tcBorders>
          </w:tcPr>
          <w:p w14:paraId="12D29855" w14:textId="77777777" w:rsidR="00CD5EDB" w:rsidRPr="004829F6" w:rsidRDefault="00CD5EDB" w:rsidP="00B73114">
            <w:pPr>
              <w:pStyle w:val="NormalTableau"/>
            </w:pPr>
          </w:p>
        </w:tc>
        <w:tc>
          <w:tcPr>
            <w:tcW w:w="2617" w:type="dxa"/>
            <w:tcBorders>
              <w:top w:val="nil"/>
              <w:left w:val="single" w:sz="4" w:space="0" w:color="auto"/>
              <w:bottom w:val="nil"/>
              <w:right w:val="nil"/>
            </w:tcBorders>
          </w:tcPr>
          <w:p w14:paraId="0A702B73" w14:textId="331FC704" w:rsidR="00CD5EDB" w:rsidRPr="004829F6" w:rsidRDefault="00CD5EDB" w:rsidP="00B73114">
            <w:pPr>
              <w:pStyle w:val="NormalTableau"/>
            </w:pPr>
            <w:r w:rsidRPr="004829F6">
              <w:t>Prélevés sur le compte</w:t>
            </w:r>
            <w:r w:rsidR="00BD0074" w:rsidRPr="004829F6">
              <w:t> :</w:t>
            </w:r>
            <w:r w:rsidR="00AA192B">
              <w:t xml:space="preserve"> </w:t>
            </w:r>
            <w:r w:rsidR="00AA192B">
              <w:rPr>
                <w:szCs w:val="18"/>
              </w:rPr>
              <w:fldChar w:fldCharType="begin">
                <w:ffData>
                  <w:name w:val="Texte1"/>
                  <w:enabled/>
                  <w:calcOnExit w:val="0"/>
                  <w:textInput/>
                </w:ffData>
              </w:fldChar>
            </w:r>
            <w:r w:rsidR="00AA192B">
              <w:rPr>
                <w:szCs w:val="18"/>
              </w:rPr>
              <w:instrText xml:space="preserve"> FORMTEXT </w:instrText>
            </w:r>
            <w:r w:rsidR="00AA192B">
              <w:rPr>
                <w:szCs w:val="18"/>
              </w:rPr>
            </w:r>
            <w:r w:rsidR="00AA192B">
              <w:rPr>
                <w:szCs w:val="18"/>
              </w:rPr>
              <w:fldChar w:fldCharType="separate"/>
            </w:r>
            <w:r w:rsidR="00AA192B">
              <w:rPr>
                <w:noProof/>
                <w:szCs w:val="18"/>
              </w:rPr>
              <w:t> </w:t>
            </w:r>
            <w:r w:rsidR="00AA192B">
              <w:rPr>
                <w:noProof/>
                <w:szCs w:val="18"/>
              </w:rPr>
              <w:t> </w:t>
            </w:r>
            <w:r w:rsidR="00AA192B">
              <w:rPr>
                <w:noProof/>
                <w:szCs w:val="18"/>
              </w:rPr>
              <w:t> </w:t>
            </w:r>
            <w:r w:rsidR="00AA192B">
              <w:rPr>
                <w:noProof/>
                <w:szCs w:val="18"/>
              </w:rPr>
              <w:t> </w:t>
            </w:r>
            <w:r w:rsidR="00AA192B">
              <w:rPr>
                <w:noProof/>
                <w:szCs w:val="18"/>
              </w:rPr>
              <w:t> </w:t>
            </w:r>
            <w:r w:rsidR="00AA192B">
              <w:rPr>
                <w:szCs w:val="18"/>
              </w:rPr>
              <w:fldChar w:fldCharType="end"/>
            </w:r>
          </w:p>
          <w:p w14:paraId="342AA86E" w14:textId="2994EE27" w:rsidR="00533DC1" w:rsidRPr="004829F6" w:rsidRDefault="00BD0074" w:rsidP="00524BC5">
            <w:pPr>
              <w:pStyle w:val="NormalTableau"/>
              <w:rPr>
                <w:i/>
                <w:iCs/>
                <w:sz w:val="16"/>
                <w:szCs w:val="16"/>
              </w:rPr>
            </w:pPr>
            <w:r w:rsidRPr="004829F6">
              <w:t>Remise de chèque/tiré sur/le :</w:t>
            </w:r>
            <w:r w:rsidR="00AA192B">
              <w:rPr>
                <w:szCs w:val="18"/>
              </w:rPr>
              <w:t xml:space="preserve"> </w:t>
            </w:r>
            <w:r w:rsidR="00AA192B">
              <w:rPr>
                <w:szCs w:val="18"/>
              </w:rPr>
              <w:fldChar w:fldCharType="begin">
                <w:ffData>
                  <w:name w:val="Texte1"/>
                  <w:enabled/>
                  <w:calcOnExit w:val="0"/>
                  <w:textInput/>
                </w:ffData>
              </w:fldChar>
            </w:r>
            <w:r w:rsidR="00AA192B">
              <w:rPr>
                <w:szCs w:val="18"/>
              </w:rPr>
              <w:instrText xml:space="preserve"> FORMTEXT </w:instrText>
            </w:r>
            <w:r w:rsidR="00AA192B">
              <w:rPr>
                <w:szCs w:val="18"/>
              </w:rPr>
            </w:r>
            <w:r w:rsidR="00AA192B">
              <w:rPr>
                <w:szCs w:val="18"/>
              </w:rPr>
              <w:fldChar w:fldCharType="separate"/>
            </w:r>
            <w:r w:rsidR="00AA192B">
              <w:rPr>
                <w:noProof/>
                <w:szCs w:val="18"/>
              </w:rPr>
              <w:t> </w:t>
            </w:r>
            <w:r w:rsidR="00AA192B">
              <w:rPr>
                <w:noProof/>
                <w:szCs w:val="18"/>
              </w:rPr>
              <w:t> </w:t>
            </w:r>
            <w:r w:rsidR="00AA192B">
              <w:rPr>
                <w:noProof/>
                <w:szCs w:val="18"/>
              </w:rPr>
              <w:t> </w:t>
            </w:r>
            <w:r w:rsidR="00AA192B">
              <w:rPr>
                <w:noProof/>
                <w:szCs w:val="18"/>
              </w:rPr>
              <w:t> </w:t>
            </w:r>
            <w:r w:rsidR="00AA192B">
              <w:rPr>
                <w:noProof/>
                <w:szCs w:val="18"/>
              </w:rPr>
              <w:t> </w:t>
            </w:r>
            <w:r w:rsidR="00AA192B">
              <w:rPr>
                <w:szCs w:val="18"/>
              </w:rPr>
              <w:fldChar w:fldCharType="end"/>
            </w:r>
            <w:r w:rsidR="00524BC5">
              <w:rPr>
                <w:szCs w:val="18"/>
              </w:rPr>
              <w:t xml:space="preserve">                              </w:t>
            </w:r>
            <w:r w:rsidR="00533DC1" w:rsidRPr="004829F6">
              <w:rPr>
                <w:i/>
                <w:iCs/>
                <w:sz w:val="16"/>
                <w:szCs w:val="16"/>
              </w:rPr>
              <w:t>(</w:t>
            </w:r>
            <w:r w:rsidR="005C64BD" w:rsidRPr="004829F6">
              <w:rPr>
                <w:i/>
                <w:iCs/>
                <w:sz w:val="16"/>
                <w:szCs w:val="16"/>
              </w:rPr>
              <w:t>Banque</w:t>
            </w:r>
            <w:r w:rsidR="00533DC1" w:rsidRPr="004829F6">
              <w:rPr>
                <w:i/>
                <w:iCs/>
                <w:sz w:val="16"/>
                <w:szCs w:val="16"/>
              </w:rPr>
              <w:t xml:space="preserve"> française </w:t>
            </w:r>
            <w:r w:rsidR="00524BC5" w:rsidRPr="004829F6">
              <w:rPr>
                <w:i/>
                <w:iCs/>
                <w:sz w:val="16"/>
                <w:szCs w:val="16"/>
              </w:rPr>
              <w:t>uniquement</w:t>
            </w:r>
            <w:r w:rsidR="00533DC1" w:rsidRPr="004829F6">
              <w:rPr>
                <w:i/>
                <w:iCs/>
                <w:sz w:val="16"/>
                <w:szCs w:val="16"/>
              </w:rPr>
              <w:t>)</w:t>
            </w:r>
          </w:p>
        </w:tc>
        <w:tc>
          <w:tcPr>
            <w:tcW w:w="2616" w:type="dxa"/>
            <w:tcBorders>
              <w:top w:val="nil"/>
              <w:left w:val="nil"/>
              <w:bottom w:val="nil"/>
              <w:right w:val="nil"/>
            </w:tcBorders>
          </w:tcPr>
          <w:p w14:paraId="638C5C99" w14:textId="77777777" w:rsidR="00CD5EDB" w:rsidRPr="004829F6" w:rsidRDefault="00CD5EDB" w:rsidP="00B73114">
            <w:pPr>
              <w:pStyle w:val="NormalTableau"/>
            </w:pPr>
          </w:p>
        </w:tc>
        <w:tc>
          <w:tcPr>
            <w:tcW w:w="2617" w:type="dxa"/>
            <w:tcBorders>
              <w:top w:val="nil"/>
              <w:left w:val="nil"/>
              <w:bottom w:val="nil"/>
              <w:right w:val="nil"/>
            </w:tcBorders>
          </w:tcPr>
          <w:p w14:paraId="1AC95537" w14:textId="77777777" w:rsidR="00CD5EDB" w:rsidRPr="004829F6" w:rsidRDefault="00CD5EDB" w:rsidP="00B73114">
            <w:pPr>
              <w:pStyle w:val="NormalTableau"/>
            </w:pPr>
          </w:p>
        </w:tc>
      </w:tr>
      <w:tr w:rsidR="00CD5EDB" w:rsidRPr="004829F6" w14:paraId="5FEB5373" w14:textId="77777777" w:rsidTr="00042106">
        <w:trPr>
          <w:jc w:val="center"/>
        </w:trPr>
        <w:tc>
          <w:tcPr>
            <w:tcW w:w="2616" w:type="dxa"/>
            <w:tcBorders>
              <w:top w:val="nil"/>
              <w:left w:val="nil"/>
              <w:bottom w:val="nil"/>
              <w:right w:val="single" w:sz="4" w:space="0" w:color="auto"/>
            </w:tcBorders>
          </w:tcPr>
          <w:p w14:paraId="2865355D" w14:textId="77777777" w:rsidR="00CD5EDB" w:rsidRPr="004829F6" w:rsidRDefault="00CD5EDB" w:rsidP="00B73114">
            <w:pPr>
              <w:pStyle w:val="NormalTableau"/>
            </w:pPr>
          </w:p>
        </w:tc>
        <w:tc>
          <w:tcPr>
            <w:tcW w:w="2617" w:type="dxa"/>
            <w:tcBorders>
              <w:top w:val="nil"/>
              <w:left w:val="single" w:sz="4" w:space="0" w:color="auto"/>
              <w:bottom w:val="nil"/>
              <w:right w:val="nil"/>
            </w:tcBorders>
          </w:tcPr>
          <w:p w14:paraId="4DBCE828" w14:textId="7AD56C66" w:rsidR="00CD5EDB" w:rsidRPr="004829F6" w:rsidRDefault="00CD5EDB" w:rsidP="00391308">
            <w:pPr>
              <w:pStyle w:val="NormalTableau"/>
            </w:pPr>
          </w:p>
        </w:tc>
        <w:tc>
          <w:tcPr>
            <w:tcW w:w="2616" w:type="dxa"/>
            <w:tcBorders>
              <w:top w:val="nil"/>
              <w:left w:val="nil"/>
              <w:bottom w:val="nil"/>
              <w:right w:val="nil"/>
            </w:tcBorders>
          </w:tcPr>
          <w:p w14:paraId="63232949" w14:textId="517546CA" w:rsidR="00CD5EDB" w:rsidRPr="004829F6" w:rsidRDefault="00CD5EDB" w:rsidP="00391308">
            <w:pPr>
              <w:pStyle w:val="NormalTableau"/>
            </w:pPr>
          </w:p>
        </w:tc>
        <w:tc>
          <w:tcPr>
            <w:tcW w:w="2617" w:type="dxa"/>
            <w:tcBorders>
              <w:top w:val="nil"/>
              <w:left w:val="nil"/>
              <w:bottom w:val="nil"/>
              <w:right w:val="nil"/>
            </w:tcBorders>
          </w:tcPr>
          <w:p w14:paraId="56F3BECB" w14:textId="096D9CEF" w:rsidR="00CD5EDB" w:rsidRPr="004829F6" w:rsidRDefault="00CD5EDB" w:rsidP="00391308">
            <w:pPr>
              <w:pStyle w:val="NormalTableau"/>
            </w:pPr>
            <w:r w:rsidRPr="004829F6">
              <w:t xml:space="preserve"> </w:t>
            </w:r>
          </w:p>
        </w:tc>
      </w:tr>
      <w:tr w:rsidR="00CD5EDB" w:rsidRPr="004829F6" w14:paraId="1D98880D" w14:textId="77777777" w:rsidTr="00CD5EDB">
        <w:trPr>
          <w:jc w:val="center"/>
        </w:trPr>
        <w:tc>
          <w:tcPr>
            <w:tcW w:w="2616" w:type="dxa"/>
            <w:tcBorders>
              <w:top w:val="nil"/>
              <w:left w:val="nil"/>
              <w:bottom w:val="nil"/>
              <w:right w:val="single" w:sz="4" w:space="0" w:color="auto"/>
            </w:tcBorders>
          </w:tcPr>
          <w:p w14:paraId="61ED5D95" w14:textId="77777777" w:rsidR="00CD5EDB" w:rsidRPr="004829F6" w:rsidRDefault="00CD5EDB" w:rsidP="00B73114">
            <w:pPr>
              <w:pStyle w:val="NormalTableau"/>
            </w:pPr>
            <w:r w:rsidRPr="004829F6">
              <w:t>Origines des fonds :</w:t>
            </w:r>
          </w:p>
        </w:tc>
        <w:tc>
          <w:tcPr>
            <w:tcW w:w="2617" w:type="dxa"/>
            <w:tcBorders>
              <w:top w:val="nil"/>
              <w:left w:val="single" w:sz="4" w:space="0" w:color="auto"/>
              <w:bottom w:val="nil"/>
              <w:right w:val="nil"/>
            </w:tcBorders>
          </w:tcPr>
          <w:p w14:paraId="6A2C122A" w14:textId="77777777" w:rsidR="00CD5EDB" w:rsidRPr="004829F6" w:rsidRDefault="00CD5EDB" w:rsidP="00B73114">
            <w:pPr>
              <w:pStyle w:val="NormalTableau"/>
            </w:pPr>
          </w:p>
        </w:tc>
        <w:tc>
          <w:tcPr>
            <w:tcW w:w="2616" w:type="dxa"/>
            <w:tcBorders>
              <w:top w:val="nil"/>
              <w:left w:val="nil"/>
              <w:bottom w:val="nil"/>
              <w:right w:val="nil"/>
            </w:tcBorders>
          </w:tcPr>
          <w:p w14:paraId="37C1CAD2" w14:textId="77777777" w:rsidR="00CD5EDB" w:rsidRPr="004829F6" w:rsidRDefault="00CD5EDB" w:rsidP="00B73114">
            <w:pPr>
              <w:pStyle w:val="NormalTableau"/>
            </w:pPr>
          </w:p>
        </w:tc>
        <w:tc>
          <w:tcPr>
            <w:tcW w:w="2617" w:type="dxa"/>
            <w:tcBorders>
              <w:top w:val="nil"/>
              <w:left w:val="nil"/>
              <w:bottom w:val="nil"/>
              <w:right w:val="nil"/>
            </w:tcBorders>
          </w:tcPr>
          <w:p w14:paraId="208EB3E8" w14:textId="77777777" w:rsidR="00CD5EDB" w:rsidRPr="004829F6" w:rsidRDefault="00CD5EDB" w:rsidP="00B73114">
            <w:pPr>
              <w:pStyle w:val="NormalTableau"/>
            </w:pPr>
          </w:p>
        </w:tc>
      </w:tr>
      <w:tr w:rsidR="00CD5EDB" w:rsidRPr="004829F6" w14:paraId="6EFE97A2" w14:textId="77777777" w:rsidTr="00F47FB6">
        <w:trPr>
          <w:jc w:val="center"/>
        </w:trPr>
        <w:tc>
          <w:tcPr>
            <w:tcW w:w="10466" w:type="dxa"/>
            <w:gridSpan w:val="4"/>
            <w:tcBorders>
              <w:top w:val="nil"/>
              <w:left w:val="nil"/>
              <w:bottom w:val="nil"/>
              <w:right w:val="nil"/>
            </w:tcBorders>
          </w:tcPr>
          <w:p w14:paraId="7FA81A1C" w14:textId="77777777" w:rsidR="00CD5EDB" w:rsidRPr="004829F6" w:rsidRDefault="00CD5EDB" w:rsidP="00B73114">
            <w:pPr>
              <w:pStyle w:val="NormalTableau"/>
            </w:pPr>
            <w:r w:rsidRPr="004829F6">
              <w:t>Héritage, succession, donation, legs (justificatif à photocopier)</w:t>
            </w:r>
          </w:p>
        </w:tc>
      </w:tr>
      <w:tr w:rsidR="00CD5EDB" w:rsidRPr="004829F6" w14:paraId="43FF0AC8" w14:textId="77777777" w:rsidTr="00F47FB6">
        <w:trPr>
          <w:jc w:val="center"/>
        </w:trPr>
        <w:tc>
          <w:tcPr>
            <w:tcW w:w="10466" w:type="dxa"/>
            <w:gridSpan w:val="4"/>
            <w:tcBorders>
              <w:top w:val="nil"/>
              <w:left w:val="nil"/>
              <w:bottom w:val="nil"/>
              <w:right w:val="nil"/>
            </w:tcBorders>
          </w:tcPr>
          <w:p w14:paraId="380C1E9C" w14:textId="592C6117" w:rsidR="00CD5EDB" w:rsidRPr="004829F6" w:rsidRDefault="00CD5EDB" w:rsidP="00B73114">
            <w:pPr>
              <w:pStyle w:val="NormalTableau"/>
            </w:pPr>
            <w:r w:rsidRPr="004829F6">
              <w:t xml:space="preserve">Patrimoine personnel, arbitrage d’actifs (état patrimonial à </w:t>
            </w:r>
            <w:r w:rsidR="006B2848" w:rsidRPr="004829F6">
              <w:t>fournir</w:t>
            </w:r>
            <w:r w:rsidRPr="004829F6">
              <w:t>)</w:t>
            </w:r>
          </w:p>
        </w:tc>
      </w:tr>
      <w:tr w:rsidR="00CD5EDB" w:rsidRPr="004829F6" w14:paraId="791ED66F" w14:textId="77777777" w:rsidTr="00F47FB6">
        <w:trPr>
          <w:jc w:val="center"/>
        </w:trPr>
        <w:tc>
          <w:tcPr>
            <w:tcW w:w="10466" w:type="dxa"/>
            <w:gridSpan w:val="4"/>
            <w:tcBorders>
              <w:top w:val="nil"/>
              <w:left w:val="nil"/>
              <w:bottom w:val="nil"/>
              <w:right w:val="nil"/>
            </w:tcBorders>
          </w:tcPr>
          <w:p w14:paraId="2A4D78C5" w14:textId="27FEB4D5" w:rsidR="00CD5EDB" w:rsidRPr="004829F6" w:rsidRDefault="00CD5EDB" w:rsidP="00B73114">
            <w:pPr>
              <w:pStyle w:val="NormalTableau"/>
            </w:pPr>
            <w:r w:rsidRPr="004829F6">
              <w:t xml:space="preserve">Vente de parts, d’actions, de certificats (protocole de cession à </w:t>
            </w:r>
            <w:r w:rsidR="006B2848" w:rsidRPr="004829F6">
              <w:t>fournir</w:t>
            </w:r>
            <w:r w:rsidRPr="004829F6">
              <w:t>)</w:t>
            </w:r>
          </w:p>
        </w:tc>
      </w:tr>
      <w:tr w:rsidR="00CD5EDB" w:rsidRPr="004829F6" w14:paraId="615E95C9" w14:textId="77777777" w:rsidTr="00F47FB6">
        <w:trPr>
          <w:jc w:val="center"/>
        </w:trPr>
        <w:tc>
          <w:tcPr>
            <w:tcW w:w="10466" w:type="dxa"/>
            <w:gridSpan w:val="4"/>
            <w:tcBorders>
              <w:top w:val="nil"/>
              <w:left w:val="nil"/>
              <w:bottom w:val="nil"/>
              <w:right w:val="nil"/>
            </w:tcBorders>
          </w:tcPr>
          <w:p w14:paraId="2F155B5C" w14:textId="4FF21A12" w:rsidR="00CD5EDB" w:rsidRPr="004829F6" w:rsidRDefault="00CD5EDB" w:rsidP="00A573CF">
            <w:pPr>
              <w:pStyle w:val="NormalTableau"/>
            </w:pPr>
            <w:r w:rsidRPr="004829F6">
              <w:t xml:space="preserve">Prime exceptionnelle, levée d’options, etc. (justificatif de l’entreprise ou de la société de gestion à </w:t>
            </w:r>
            <w:r w:rsidR="006B2848" w:rsidRPr="004829F6">
              <w:t>fournir</w:t>
            </w:r>
            <w:r w:rsidRPr="004829F6">
              <w:t>)</w:t>
            </w:r>
          </w:p>
        </w:tc>
      </w:tr>
      <w:tr w:rsidR="00CD5EDB" w:rsidRPr="004829F6" w14:paraId="41AEE096" w14:textId="77777777" w:rsidTr="00F7753F">
        <w:trPr>
          <w:jc w:val="center"/>
        </w:trPr>
        <w:tc>
          <w:tcPr>
            <w:tcW w:w="2616" w:type="dxa"/>
            <w:tcBorders>
              <w:top w:val="nil"/>
              <w:left w:val="nil"/>
              <w:bottom w:val="nil"/>
              <w:right w:val="single" w:sz="4" w:space="0" w:color="auto"/>
            </w:tcBorders>
          </w:tcPr>
          <w:p w14:paraId="04A53729" w14:textId="77777777" w:rsidR="00CD5EDB" w:rsidRPr="004829F6" w:rsidRDefault="00CD5EDB" w:rsidP="00B73114">
            <w:pPr>
              <w:pStyle w:val="NormalTableau"/>
            </w:pPr>
            <w:r w:rsidRPr="004829F6">
              <w:t>Remploi de :</w:t>
            </w:r>
          </w:p>
        </w:tc>
        <w:tc>
          <w:tcPr>
            <w:tcW w:w="2617" w:type="dxa"/>
            <w:tcBorders>
              <w:top w:val="nil"/>
              <w:left w:val="single" w:sz="4" w:space="0" w:color="auto"/>
              <w:bottom w:val="nil"/>
              <w:right w:val="nil"/>
            </w:tcBorders>
          </w:tcPr>
          <w:p w14:paraId="5141CC07" w14:textId="58B777C5" w:rsidR="00CD5EDB" w:rsidRPr="004829F6" w:rsidRDefault="00AA192B" w:rsidP="00B73114">
            <w:pPr>
              <w:pStyle w:val="NormalTableau"/>
            </w:pPr>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616" w:type="dxa"/>
            <w:tcBorders>
              <w:top w:val="nil"/>
              <w:left w:val="nil"/>
              <w:bottom w:val="nil"/>
              <w:right w:val="nil"/>
            </w:tcBorders>
          </w:tcPr>
          <w:p w14:paraId="643D01DB" w14:textId="77777777" w:rsidR="00CD5EDB" w:rsidRPr="004829F6" w:rsidRDefault="00CD5EDB" w:rsidP="00B73114">
            <w:pPr>
              <w:pStyle w:val="NormalTableau"/>
            </w:pPr>
          </w:p>
        </w:tc>
        <w:tc>
          <w:tcPr>
            <w:tcW w:w="2617" w:type="dxa"/>
            <w:tcBorders>
              <w:top w:val="nil"/>
              <w:left w:val="nil"/>
              <w:bottom w:val="nil"/>
              <w:right w:val="nil"/>
            </w:tcBorders>
          </w:tcPr>
          <w:p w14:paraId="137D1C2F" w14:textId="77777777" w:rsidR="00CD5EDB" w:rsidRPr="004829F6" w:rsidRDefault="00CD5EDB" w:rsidP="00B73114">
            <w:pPr>
              <w:pStyle w:val="NormalTableau"/>
            </w:pPr>
          </w:p>
        </w:tc>
      </w:tr>
      <w:tr w:rsidR="00CD5EDB" w:rsidRPr="004829F6" w14:paraId="3C3FEE86" w14:textId="77777777" w:rsidTr="00691537">
        <w:trPr>
          <w:jc w:val="center"/>
        </w:trPr>
        <w:tc>
          <w:tcPr>
            <w:tcW w:w="2616" w:type="dxa"/>
            <w:tcBorders>
              <w:top w:val="nil"/>
              <w:left w:val="nil"/>
              <w:bottom w:val="nil"/>
              <w:right w:val="single" w:sz="4" w:space="0" w:color="auto"/>
            </w:tcBorders>
          </w:tcPr>
          <w:p w14:paraId="6CEAA618" w14:textId="77777777" w:rsidR="00CD5EDB" w:rsidRPr="004829F6" w:rsidRDefault="00CD5EDB" w:rsidP="00B73114">
            <w:pPr>
              <w:pStyle w:val="NormalTableau"/>
            </w:pPr>
            <w:r w:rsidRPr="004829F6">
              <w:t>Autre :</w:t>
            </w:r>
          </w:p>
        </w:tc>
        <w:tc>
          <w:tcPr>
            <w:tcW w:w="2617" w:type="dxa"/>
            <w:tcBorders>
              <w:top w:val="nil"/>
              <w:left w:val="single" w:sz="4" w:space="0" w:color="auto"/>
              <w:bottom w:val="nil"/>
              <w:right w:val="nil"/>
            </w:tcBorders>
          </w:tcPr>
          <w:p w14:paraId="00F2CB20" w14:textId="0E7DAEAD" w:rsidR="00CD5EDB" w:rsidRPr="004829F6" w:rsidRDefault="00AA192B" w:rsidP="00B73114">
            <w:pPr>
              <w:pStyle w:val="NormalTableau"/>
            </w:pPr>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616" w:type="dxa"/>
            <w:tcBorders>
              <w:top w:val="nil"/>
              <w:left w:val="nil"/>
              <w:bottom w:val="nil"/>
              <w:right w:val="single" w:sz="4" w:space="0" w:color="auto"/>
            </w:tcBorders>
          </w:tcPr>
          <w:p w14:paraId="7D674D62" w14:textId="6EEA9318" w:rsidR="00CD5EDB" w:rsidRPr="004829F6" w:rsidRDefault="00CD5EDB" w:rsidP="00B73114">
            <w:pPr>
              <w:pStyle w:val="NormalTableau"/>
            </w:pPr>
            <w:r w:rsidRPr="004829F6">
              <w:t>Document remis :</w:t>
            </w:r>
            <w:r w:rsidR="00AA192B">
              <w:t xml:space="preserve"> </w:t>
            </w:r>
            <w:r w:rsidR="00AA192B">
              <w:rPr>
                <w:szCs w:val="18"/>
              </w:rPr>
              <w:fldChar w:fldCharType="begin">
                <w:ffData>
                  <w:name w:val="Texte1"/>
                  <w:enabled/>
                  <w:calcOnExit w:val="0"/>
                  <w:textInput/>
                </w:ffData>
              </w:fldChar>
            </w:r>
            <w:r w:rsidR="00AA192B">
              <w:rPr>
                <w:szCs w:val="18"/>
              </w:rPr>
              <w:instrText xml:space="preserve"> FORMTEXT </w:instrText>
            </w:r>
            <w:r w:rsidR="00AA192B">
              <w:rPr>
                <w:szCs w:val="18"/>
              </w:rPr>
            </w:r>
            <w:r w:rsidR="00AA192B">
              <w:rPr>
                <w:szCs w:val="18"/>
              </w:rPr>
              <w:fldChar w:fldCharType="separate"/>
            </w:r>
            <w:r w:rsidR="00AA192B">
              <w:rPr>
                <w:noProof/>
                <w:szCs w:val="18"/>
              </w:rPr>
              <w:t> </w:t>
            </w:r>
            <w:r w:rsidR="00AA192B">
              <w:rPr>
                <w:noProof/>
                <w:szCs w:val="18"/>
              </w:rPr>
              <w:t> </w:t>
            </w:r>
            <w:r w:rsidR="00AA192B">
              <w:rPr>
                <w:noProof/>
                <w:szCs w:val="18"/>
              </w:rPr>
              <w:t> </w:t>
            </w:r>
            <w:r w:rsidR="00AA192B">
              <w:rPr>
                <w:noProof/>
                <w:szCs w:val="18"/>
              </w:rPr>
              <w:t> </w:t>
            </w:r>
            <w:r w:rsidR="00AA192B">
              <w:rPr>
                <w:noProof/>
                <w:szCs w:val="18"/>
              </w:rPr>
              <w:t> </w:t>
            </w:r>
            <w:r w:rsidR="00AA192B">
              <w:rPr>
                <w:szCs w:val="18"/>
              </w:rPr>
              <w:fldChar w:fldCharType="end"/>
            </w:r>
          </w:p>
        </w:tc>
        <w:tc>
          <w:tcPr>
            <w:tcW w:w="2617" w:type="dxa"/>
            <w:tcBorders>
              <w:top w:val="nil"/>
              <w:left w:val="single" w:sz="4" w:space="0" w:color="auto"/>
              <w:bottom w:val="nil"/>
              <w:right w:val="nil"/>
            </w:tcBorders>
          </w:tcPr>
          <w:p w14:paraId="7F10A2BB" w14:textId="77777777" w:rsidR="00CD5EDB" w:rsidRPr="004829F6" w:rsidRDefault="00CD5EDB" w:rsidP="00B73114">
            <w:pPr>
              <w:pStyle w:val="NormalTableau"/>
            </w:pPr>
          </w:p>
        </w:tc>
      </w:tr>
      <w:tr w:rsidR="00F7753F" w:rsidRPr="004829F6" w14:paraId="6A64AA3B" w14:textId="77777777" w:rsidTr="00F7753F">
        <w:trPr>
          <w:jc w:val="center"/>
        </w:trPr>
        <w:tc>
          <w:tcPr>
            <w:tcW w:w="10466" w:type="dxa"/>
            <w:gridSpan w:val="4"/>
            <w:tcBorders>
              <w:top w:val="nil"/>
              <w:left w:val="nil"/>
              <w:bottom w:val="nil"/>
              <w:right w:val="nil"/>
            </w:tcBorders>
          </w:tcPr>
          <w:p w14:paraId="20A2894F" w14:textId="003529DA" w:rsidR="00EB52B8" w:rsidRPr="004829F6" w:rsidRDefault="00EB52B8" w:rsidP="00B73114">
            <w:pPr>
              <w:pStyle w:val="Titre1"/>
            </w:pPr>
          </w:p>
          <w:p w14:paraId="12934C97" w14:textId="2C150729" w:rsidR="006B2848" w:rsidRPr="004829F6" w:rsidRDefault="006B2848" w:rsidP="006B2848"/>
          <w:p w14:paraId="3DC06F36" w14:textId="77777777" w:rsidR="006B2848" w:rsidRPr="004829F6" w:rsidRDefault="006B2848" w:rsidP="006B2848"/>
          <w:p w14:paraId="7BAE57A1" w14:textId="4587FE6D" w:rsidR="00F7753F" w:rsidRPr="004829F6" w:rsidRDefault="00F7753F" w:rsidP="00B73114">
            <w:pPr>
              <w:pStyle w:val="Titre1"/>
            </w:pPr>
            <w:r w:rsidRPr="004829F6">
              <w:t>Fonctionnement du compte</w:t>
            </w:r>
            <w:r w:rsidR="00727438" w:rsidRPr="004829F6">
              <w:t xml:space="preserve"> </w:t>
            </w:r>
            <w:r w:rsidR="00727438" w:rsidRPr="004829F6">
              <w:rPr>
                <w:b w:val="0"/>
                <w:bCs/>
              </w:rPr>
              <w:t>(si le compte est dÉmembrÉ)</w:t>
            </w:r>
          </w:p>
        </w:tc>
      </w:tr>
      <w:tr w:rsidR="00F7753F" w:rsidRPr="004829F6" w14:paraId="5D7BF710" w14:textId="77777777" w:rsidTr="00F47FB6">
        <w:trPr>
          <w:jc w:val="center"/>
        </w:trPr>
        <w:tc>
          <w:tcPr>
            <w:tcW w:w="10466" w:type="dxa"/>
            <w:gridSpan w:val="4"/>
            <w:tcBorders>
              <w:top w:val="nil"/>
              <w:left w:val="nil"/>
              <w:bottom w:val="nil"/>
              <w:right w:val="nil"/>
            </w:tcBorders>
          </w:tcPr>
          <w:p w14:paraId="32E38542" w14:textId="77777777" w:rsidR="00F7753F" w:rsidRPr="004829F6" w:rsidRDefault="00F7753F" w:rsidP="00B73114">
            <w:pPr>
              <w:pStyle w:val="NormalTableau"/>
            </w:pPr>
            <w:r w:rsidRPr="004829F6">
              <w:t>Le montant des dividendes, coupons et intérêts, perçu sera :</w:t>
            </w:r>
          </w:p>
        </w:tc>
      </w:tr>
      <w:tr w:rsidR="00F7753F" w:rsidRPr="004829F6" w14:paraId="01F07D69" w14:textId="77777777" w:rsidTr="00F7753F">
        <w:trPr>
          <w:jc w:val="center"/>
        </w:trPr>
        <w:tc>
          <w:tcPr>
            <w:tcW w:w="2616" w:type="dxa"/>
            <w:tcBorders>
              <w:top w:val="nil"/>
              <w:left w:val="nil"/>
              <w:bottom w:val="nil"/>
              <w:right w:val="single" w:sz="4" w:space="0" w:color="auto"/>
            </w:tcBorders>
          </w:tcPr>
          <w:p w14:paraId="77C20297" w14:textId="77777777" w:rsidR="00F7753F" w:rsidRPr="004829F6" w:rsidRDefault="00F7753F" w:rsidP="00B73114">
            <w:pPr>
              <w:pStyle w:val="NormalTableau"/>
            </w:pPr>
            <w:r w:rsidRPr="004829F6">
              <w:t>Crédité sur le compte géré :</w:t>
            </w:r>
          </w:p>
        </w:tc>
        <w:tc>
          <w:tcPr>
            <w:tcW w:w="7850" w:type="dxa"/>
            <w:gridSpan w:val="3"/>
            <w:tcBorders>
              <w:top w:val="nil"/>
              <w:left w:val="single" w:sz="4" w:space="0" w:color="auto"/>
              <w:bottom w:val="nil"/>
              <w:right w:val="nil"/>
            </w:tcBorders>
          </w:tcPr>
          <w:p w14:paraId="68EA5CA1" w14:textId="17609444" w:rsidR="00F7753F" w:rsidRPr="004829F6" w:rsidRDefault="00AA192B" w:rsidP="00B73114">
            <w:pPr>
              <w:pStyle w:val="NormalTableau"/>
            </w:pPr>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7753F" w:rsidRPr="004829F6" w14:paraId="6EDD70B0" w14:textId="77777777" w:rsidTr="00F7753F">
        <w:trPr>
          <w:jc w:val="center"/>
        </w:trPr>
        <w:tc>
          <w:tcPr>
            <w:tcW w:w="2616" w:type="dxa"/>
            <w:tcBorders>
              <w:top w:val="nil"/>
              <w:left w:val="nil"/>
              <w:bottom w:val="nil"/>
              <w:right w:val="single" w:sz="4" w:space="0" w:color="auto"/>
            </w:tcBorders>
          </w:tcPr>
          <w:p w14:paraId="0207CE5C" w14:textId="77777777" w:rsidR="00F7753F" w:rsidRPr="004829F6" w:rsidRDefault="00F7753F" w:rsidP="00B73114">
            <w:pPr>
              <w:pStyle w:val="NormalTableau"/>
            </w:pPr>
            <w:r w:rsidRPr="004829F6">
              <w:t>Viré sur le compte n°</w:t>
            </w:r>
          </w:p>
        </w:tc>
        <w:tc>
          <w:tcPr>
            <w:tcW w:w="7850" w:type="dxa"/>
            <w:gridSpan w:val="3"/>
            <w:tcBorders>
              <w:top w:val="nil"/>
              <w:left w:val="single" w:sz="4" w:space="0" w:color="auto"/>
              <w:bottom w:val="nil"/>
              <w:right w:val="nil"/>
            </w:tcBorders>
          </w:tcPr>
          <w:p w14:paraId="00844F28" w14:textId="370A6220" w:rsidR="00F7753F" w:rsidRPr="004829F6" w:rsidRDefault="00AA192B" w:rsidP="00B73114">
            <w:pPr>
              <w:pStyle w:val="NormalTableau"/>
            </w:pPr>
            <w:r>
              <w:t xml:space="preserve"> </w:t>
            </w:r>
            <w:r>
              <w:rPr>
                <w:szCs w:val="18"/>
              </w:rPr>
              <w:fldChar w:fldCharType="begin">
                <w:ffData>
                  <w:name w:val="Texte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7753F" w:rsidRPr="004829F6" w14:paraId="67BD8159" w14:textId="77777777" w:rsidTr="00F47FB6">
        <w:trPr>
          <w:jc w:val="center"/>
        </w:trPr>
        <w:tc>
          <w:tcPr>
            <w:tcW w:w="10466" w:type="dxa"/>
            <w:gridSpan w:val="4"/>
            <w:tcBorders>
              <w:top w:val="nil"/>
              <w:left w:val="nil"/>
              <w:bottom w:val="nil"/>
              <w:right w:val="nil"/>
            </w:tcBorders>
          </w:tcPr>
          <w:p w14:paraId="25E6C1B8" w14:textId="77777777" w:rsidR="00EB52B8" w:rsidRPr="004829F6" w:rsidRDefault="00EB52B8" w:rsidP="00B73114">
            <w:pPr>
              <w:pStyle w:val="Titre1"/>
            </w:pPr>
          </w:p>
          <w:p w14:paraId="40390D3C" w14:textId="77777777" w:rsidR="00F7753F" w:rsidRPr="004829F6" w:rsidRDefault="00F7753F" w:rsidP="00B73114">
            <w:pPr>
              <w:pStyle w:val="Titre1"/>
            </w:pPr>
            <w:r w:rsidRPr="004829F6">
              <w:t>Autres informations – Rappel des préconisations de la banque</w:t>
            </w:r>
          </w:p>
        </w:tc>
      </w:tr>
      <w:tr w:rsidR="00F7753F" w:rsidRPr="004829F6" w14:paraId="6CFE7B06" w14:textId="77777777" w:rsidTr="00F47FB6">
        <w:trPr>
          <w:jc w:val="center"/>
        </w:trPr>
        <w:tc>
          <w:tcPr>
            <w:tcW w:w="10466" w:type="dxa"/>
            <w:gridSpan w:val="4"/>
            <w:tcBorders>
              <w:top w:val="nil"/>
              <w:left w:val="nil"/>
              <w:bottom w:val="nil"/>
              <w:right w:val="nil"/>
            </w:tcBorders>
          </w:tcPr>
          <w:p w14:paraId="6C182944" w14:textId="77777777" w:rsidR="00F7753F" w:rsidRPr="004829F6" w:rsidRDefault="00F7753F" w:rsidP="00B225F6">
            <w:pPr>
              <w:spacing w:before="120" w:after="0"/>
            </w:pPr>
            <w:r w:rsidRPr="004829F6">
              <w:rPr>
                <w:rStyle w:val="NormalBoldCar"/>
              </w:rPr>
              <w:t>Compte tenu des renseignements que vous nous avez fournis</w:t>
            </w:r>
            <w:r w:rsidR="00BD42FD" w:rsidRPr="004829F6">
              <w:t xml:space="preserve"> dans les questionnaires </w:t>
            </w:r>
            <w:r w:rsidRPr="004829F6">
              <w:t>:</w:t>
            </w:r>
          </w:p>
          <w:p w14:paraId="75F41228" w14:textId="45AE347B" w:rsidR="00F7753F" w:rsidRPr="004829F6" w:rsidRDefault="00F7753F" w:rsidP="00B225F6">
            <w:pPr>
              <w:pStyle w:val="Puce"/>
              <w:spacing w:after="0"/>
            </w:pPr>
            <w:r w:rsidRPr="004829F6">
              <w:t xml:space="preserve">de </w:t>
            </w:r>
            <w:r w:rsidR="00533DC1" w:rsidRPr="004829F6">
              <w:t>c</w:t>
            </w:r>
            <w:r w:rsidRPr="004829F6">
              <w:t>onnaissance</w:t>
            </w:r>
            <w:r w:rsidR="00533DC1" w:rsidRPr="004829F6">
              <w:t xml:space="preserve"> et d’expérience</w:t>
            </w:r>
            <w:r w:rsidRPr="004829F6">
              <w:t xml:space="preserve"> </w:t>
            </w:r>
            <w:r w:rsidR="006B2848" w:rsidRPr="004829F6">
              <w:t>financière</w:t>
            </w:r>
            <w:r w:rsidR="00533DC1" w:rsidRPr="004829F6">
              <w:t>s</w:t>
            </w:r>
            <w:r w:rsidR="006B2848" w:rsidRPr="004829F6">
              <w:t xml:space="preserve"> </w:t>
            </w:r>
            <w:r w:rsidR="00A7098D" w:rsidRPr="004829F6">
              <w:t>(</w:t>
            </w:r>
            <w:r w:rsidR="00533DC1" w:rsidRPr="0004050C">
              <w:rPr>
                <w:i/>
                <w:iCs/>
                <w:color w:val="000000"/>
                <w:sz w:val="16"/>
                <w:szCs w:val="16"/>
              </w:rPr>
              <w:t xml:space="preserve">ce </w:t>
            </w:r>
            <w:r w:rsidR="00A7098D" w:rsidRPr="0004050C">
              <w:rPr>
                <w:i/>
                <w:iCs/>
                <w:color w:val="000000"/>
                <w:sz w:val="16"/>
                <w:szCs w:val="16"/>
              </w:rPr>
              <w:t>document a été convenablement renseigné par le Mandant. L’absence de ce document empêche l’exécution du présent Mandat)</w:t>
            </w:r>
          </w:p>
          <w:p w14:paraId="7D003970" w14:textId="33525D6A" w:rsidR="00F7753F" w:rsidRPr="004829F6" w:rsidRDefault="00F7753F" w:rsidP="00B225F6">
            <w:pPr>
              <w:pStyle w:val="Puce"/>
              <w:spacing w:after="0"/>
            </w:pPr>
            <w:r w:rsidRPr="004829F6">
              <w:t xml:space="preserve">et </w:t>
            </w:r>
            <w:r w:rsidR="00727438" w:rsidRPr="004829F6">
              <w:t>d’appétence au</w:t>
            </w:r>
            <w:r w:rsidRPr="004829F6">
              <w:t xml:space="preserve"> </w:t>
            </w:r>
            <w:r w:rsidR="00727438" w:rsidRPr="004829F6">
              <w:t>r</w:t>
            </w:r>
            <w:r w:rsidRPr="004829F6">
              <w:t>isque,</w:t>
            </w:r>
          </w:p>
          <w:p w14:paraId="389332C0" w14:textId="6C054BBA" w:rsidR="00F7753F" w:rsidRPr="004829F6" w:rsidRDefault="00F7753F" w:rsidP="0004050C">
            <w:pPr>
              <w:pStyle w:val="NormalHuge"/>
              <w:spacing w:before="120" w:after="0" w:line="480" w:lineRule="auto"/>
            </w:pPr>
            <w:r w:rsidRPr="004829F6">
              <w:t xml:space="preserve">dont les conclusions figurent dans votre synthèse </w:t>
            </w:r>
            <w:r w:rsidR="001E546D" w:rsidRPr="004829F6">
              <w:t xml:space="preserve">épargne ou </w:t>
            </w:r>
            <w:r w:rsidRPr="004829F6">
              <w:t>conseil</w:t>
            </w:r>
            <w:r w:rsidR="001E546D" w:rsidRPr="004829F6">
              <w:t xml:space="preserve"> en investissement</w:t>
            </w:r>
            <w:r w:rsidRPr="004829F6">
              <w:t xml:space="preserve"> et votre déclaration d’adéquation, signées par vous-même en date du : </w:t>
            </w:r>
            <w:r w:rsidR="000023F5" w:rsidRPr="004829F6">
              <w:t>_</w:t>
            </w:r>
            <w:r w:rsidR="00AA192B">
              <w:rPr>
                <w:szCs w:val="18"/>
              </w:rPr>
              <w:fldChar w:fldCharType="begin">
                <w:ffData>
                  <w:name w:val="Texte1"/>
                  <w:enabled/>
                  <w:calcOnExit w:val="0"/>
                  <w:textInput/>
                </w:ffData>
              </w:fldChar>
            </w:r>
            <w:r w:rsidR="00AA192B">
              <w:rPr>
                <w:szCs w:val="18"/>
              </w:rPr>
              <w:instrText xml:space="preserve"> FORMTEXT </w:instrText>
            </w:r>
            <w:r w:rsidR="00AA192B">
              <w:rPr>
                <w:szCs w:val="18"/>
              </w:rPr>
            </w:r>
            <w:r w:rsidR="00AA192B">
              <w:rPr>
                <w:szCs w:val="18"/>
              </w:rPr>
              <w:fldChar w:fldCharType="separate"/>
            </w:r>
            <w:r w:rsidR="00AA192B">
              <w:rPr>
                <w:noProof/>
                <w:szCs w:val="18"/>
              </w:rPr>
              <w:t> </w:t>
            </w:r>
            <w:r w:rsidR="00AA192B">
              <w:rPr>
                <w:noProof/>
                <w:szCs w:val="18"/>
              </w:rPr>
              <w:t> </w:t>
            </w:r>
            <w:r w:rsidR="00AA192B">
              <w:rPr>
                <w:noProof/>
                <w:szCs w:val="18"/>
              </w:rPr>
              <w:t> </w:t>
            </w:r>
            <w:r w:rsidR="00AA192B">
              <w:rPr>
                <w:noProof/>
                <w:szCs w:val="18"/>
              </w:rPr>
              <w:t> </w:t>
            </w:r>
            <w:r w:rsidR="00AA192B">
              <w:rPr>
                <w:noProof/>
                <w:szCs w:val="18"/>
              </w:rPr>
              <w:t> </w:t>
            </w:r>
            <w:r w:rsidR="00AA192B">
              <w:rPr>
                <w:szCs w:val="18"/>
              </w:rPr>
              <w:fldChar w:fldCharType="end"/>
            </w:r>
            <w:r w:rsidR="000023F5" w:rsidRPr="004829F6">
              <w:t>_</w:t>
            </w:r>
            <w:r w:rsidR="005C64BD" w:rsidRPr="001E0961">
              <w:t>__________</w:t>
            </w:r>
            <w:r w:rsidR="000023F5" w:rsidRPr="004829F6">
              <w:t>_</w:t>
            </w:r>
            <w:r w:rsidRPr="004829F6">
              <w:t xml:space="preserve">, à </w:t>
            </w:r>
            <w:r w:rsidR="000023F5" w:rsidRPr="004829F6">
              <w:t>_</w:t>
            </w:r>
            <w:r w:rsidR="00AA192B">
              <w:rPr>
                <w:szCs w:val="18"/>
              </w:rPr>
              <w:fldChar w:fldCharType="begin">
                <w:ffData>
                  <w:name w:val="Texte1"/>
                  <w:enabled/>
                  <w:calcOnExit w:val="0"/>
                  <w:textInput/>
                </w:ffData>
              </w:fldChar>
            </w:r>
            <w:r w:rsidR="00AA192B">
              <w:rPr>
                <w:szCs w:val="18"/>
              </w:rPr>
              <w:instrText xml:space="preserve"> FORMTEXT </w:instrText>
            </w:r>
            <w:r w:rsidR="00AA192B">
              <w:rPr>
                <w:szCs w:val="18"/>
              </w:rPr>
            </w:r>
            <w:r w:rsidR="00AA192B">
              <w:rPr>
                <w:szCs w:val="18"/>
              </w:rPr>
              <w:fldChar w:fldCharType="separate"/>
            </w:r>
            <w:r w:rsidR="00AA192B">
              <w:rPr>
                <w:noProof/>
                <w:szCs w:val="18"/>
              </w:rPr>
              <w:t> </w:t>
            </w:r>
            <w:r w:rsidR="00AA192B">
              <w:rPr>
                <w:noProof/>
                <w:szCs w:val="18"/>
              </w:rPr>
              <w:t> </w:t>
            </w:r>
            <w:r w:rsidR="00AA192B">
              <w:rPr>
                <w:noProof/>
                <w:szCs w:val="18"/>
              </w:rPr>
              <w:t> </w:t>
            </w:r>
            <w:r w:rsidR="00AA192B">
              <w:rPr>
                <w:noProof/>
                <w:szCs w:val="18"/>
              </w:rPr>
              <w:t> </w:t>
            </w:r>
            <w:r w:rsidR="00AA192B">
              <w:rPr>
                <w:noProof/>
                <w:szCs w:val="18"/>
              </w:rPr>
              <w:t> </w:t>
            </w:r>
            <w:r w:rsidR="00AA192B">
              <w:rPr>
                <w:szCs w:val="18"/>
              </w:rPr>
              <w:fldChar w:fldCharType="end"/>
            </w:r>
            <w:r w:rsidR="000023F5" w:rsidRPr="004829F6">
              <w:t>_____________</w:t>
            </w:r>
            <w:r w:rsidRPr="004829F6">
              <w:t>.</w:t>
            </w:r>
          </w:p>
          <w:p w14:paraId="020EB30A" w14:textId="61C8FF81" w:rsidR="00691537" w:rsidRPr="004829F6" w:rsidRDefault="00691537" w:rsidP="00B225F6">
            <w:pPr>
              <w:pStyle w:val="NormalHuge"/>
              <w:spacing w:before="120" w:after="0"/>
            </w:pPr>
            <w:r w:rsidRPr="004829F6">
              <w:t xml:space="preserve">Le profil de gestion retenu est le suivant : </w:t>
            </w:r>
            <w:r w:rsidR="00AA192B">
              <w:rPr>
                <w:szCs w:val="18"/>
              </w:rPr>
              <w:fldChar w:fldCharType="begin">
                <w:ffData>
                  <w:name w:val="Texte1"/>
                  <w:enabled/>
                  <w:calcOnExit w:val="0"/>
                  <w:textInput/>
                </w:ffData>
              </w:fldChar>
            </w:r>
            <w:r w:rsidR="00AA192B">
              <w:rPr>
                <w:szCs w:val="18"/>
              </w:rPr>
              <w:instrText xml:space="preserve"> FORMTEXT </w:instrText>
            </w:r>
            <w:r w:rsidR="00AA192B">
              <w:rPr>
                <w:szCs w:val="18"/>
              </w:rPr>
            </w:r>
            <w:r w:rsidR="00AA192B">
              <w:rPr>
                <w:szCs w:val="18"/>
              </w:rPr>
              <w:fldChar w:fldCharType="separate"/>
            </w:r>
            <w:r w:rsidR="00AA192B">
              <w:rPr>
                <w:noProof/>
                <w:szCs w:val="18"/>
              </w:rPr>
              <w:t> </w:t>
            </w:r>
            <w:r w:rsidR="00AA192B">
              <w:rPr>
                <w:noProof/>
                <w:szCs w:val="18"/>
              </w:rPr>
              <w:t> </w:t>
            </w:r>
            <w:r w:rsidR="00AA192B">
              <w:rPr>
                <w:noProof/>
                <w:szCs w:val="18"/>
              </w:rPr>
              <w:t> </w:t>
            </w:r>
            <w:r w:rsidR="00AA192B">
              <w:rPr>
                <w:noProof/>
                <w:szCs w:val="18"/>
              </w:rPr>
              <w:t> </w:t>
            </w:r>
            <w:r w:rsidR="00AA192B">
              <w:rPr>
                <w:noProof/>
                <w:szCs w:val="18"/>
              </w:rPr>
              <w:t> </w:t>
            </w:r>
            <w:r w:rsidR="00AA192B">
              <w:rPr>
                <w:szCs w:val="18"/>
              </w:rPr>
              <w:fldChar w:fldCharType="end"/>
            </w:r>
            <w:r w:rsidR="00AA192B">
              <w:rPr>
                <w:szCs w:val="18"/>
              </w:rPr>
              <w:t xml:space="preserve">  </w:t>
            </w:r>
            <w:r w:rsidR="006B2848" w:rsidRPr="004829F6">
              <w:t>– la présentation des profils de gestion se trouve à l’article 4.</w:t>
            </w:r>
          </w:p>
          <w:p w14:paraId="6395C2A2" w14:textId="5F2B8AF1" w:rsidR="006B2848" w:rsidRPr="004829F6" w:rsidRDefault="006B2848" w:rsidP="00B225F6">
            <w:pPr>
              <w:pStyle w:val="NormalHuge"/>
              <w:spacing w:before="120" w:after="0"/>
            </w:pPr>
          </w:p>
          <w:p w14:paraId="247E1BDD" w14:textId="7060957D" w:rsidR="006B2848" w:rsidRPr="004829F6" w:rsidRDefault="0060715B" w:rsidP="0060715B">
            <w:pPr>
              <w:pStyle w:val="NormalHuge"/>
              <w:spacing w:before="120" w:after="0"/>
            </w:pPr>
            <w:r w:rsidRPr="004829F6">
              <w:t xml:space="preserve">Il est à noter que le profil de gestion </w:t>
            </w:r>
            <w:r w:rsidR="00727438" w:rsidRPr="004829F6">
              <w:t xml:space="preserve">qui vous est conseillé par </w:t>
            </w:r>
            <w:r w:rsidRPr="004829F6">
              <w:t xml:space="preserve">la BANQUE </w:t>
            </w:r>
            <w:r w:rsidR="00727438" w:rsidRPr="004829F6">
              <w:t>est déterminé par : vos</w:t>
            </w:r>
            <w:r w:rsidRPr="004829F6">
              <w:t xml:space="preserve"> objectifs d'investissement, y compris </w:t>
            </w:r>
            <w:r w:rsidR="00727438" w:rsidRPr="004829F6">
              <w:t>votre</w:t>
            </w:r>
            <w:r w:rsidRPr="004829F6">
              <w:t xml:space="preserve"> tolérance aux risques, de </w:t>
            </w:r>
            <w:r w:rsidR="00727438" w:rsidRPr="004829F6">
              <w:t>vos</w:t>
            </w:r>
            <w:r w:rsidRPr="004829F6">
              <w:t xml:space="preserve"> connaissances, de </w:t>
            </w:r>
            <w:r w:rsidR="00727438" w:rsidRPr="004829F6">
              <w:t>votre</w:t>
            </w:r>
            <w:r w:rsidRPr="004829F6">
              <w:t xml:space="preserve"> expérience et </w:t>
            </w:r>
            <w:r w:rsidR="00727438" w:rsidRPr="004829F6">
              <w:t>de votre</w:t>
            </w:r>
            <w:r w:rsidRPr="004829F6">
              <w:t xml:space="preserve"> situation financière, y compris </w:t>
            </w:r>
            <w:r w:rsidR="00727438" w:rsidRPr="004829F6">
              <w:t>votre</w:t>
            </w:r>
            <w:r w:rsidRPr="004829F6">
              <w:t xml:space="preserve"> capacité à subir des pertes.</w:t>
            </w:r>
          </w:p>
          <w:p w14:paraId="14753359" w14:textId="77777777" w:rsidR="006B2848" w:rsidRPr="004829F6" w:rsidRDefault="006B2848" w:rsidP="00B225F6">
            <w:pPr>
              <w:pStyle w:val="NormalHuge"/>
              <w:spacing w:before="120" w:after="0"/>
            </w:pPr>
          </w:p>
          <w:p w14:paraId="59EB79E0" w14:textId="7D71B035" w:rsidR="000023F5" w:rsidRPr="004829F6" w:rsidRDefault="00712F99" w:rsidP="0004050C">
            <w:pPr>
              <w:pStyle w:val="NormalHuge"/>
              <w:spacing w:before="120" w:after="0" w:line="360" w:lineRule="auto"/>
            </w:pPr>
            <w:r w:rsidRPr="004829F6">
              <w:t>Le niveau de</w:t>
            </w:r>
            <w:r w:rsidR="00691537" w:rsidRPr="004829F6">
              <w:t xml:space="preserve"> risque</w:t>
            </w:r>
            <w:r w:rsidR="00691537" w:rsidRPr="004829F6">
              <w:rPr>
                <w:rStyle w:val="Appelnotedebasdep"/>
              </w:rPr>
              <w:footnoteReference w:id="2"/>
            </w:r>
            <w:r w:rsidR="00691537" w:rsidRPr="004829F6">
              <w:t xml:space="preserve"> </w:t>
            </w:r>
            <w:r w:rsidRPr="004829F6">
              <w:t>associé à ce profil de gestion</w:t>
            </w:r>
            <w:r w:rsidR="00691537" w:rsidRPr="004829F6">
              <w:t xml:space="preserve"> </w:t>
            </w:r>
            <w:r w:rsidR="0060715B" w:rsidRPr="004829F6">
              <w:t xml:space="preserve">à la date de la signature du Mandat </w:t>
            </w:r>
            <w:r w:rsidR="00691537" w:rsidRPr="004829F6">
              <w:t>est le suivant </w:t>
            </w:r>
            <w:r w:rsidR="000023F5" w:rsidRPr="004829F6">
              <w:t>(p</w:t>
            </w:r>
            <w:r w:rsidRPr="004829F6">
              <w:t xml:space="preserve">ositionnement du </w:t>
            </w:r>
            <w:r w:rsidR="0060715B" w:rsidRPr="004829F6">
              <w:t xml:space="preserve"> SRI</w:t>
            </w:r>
            <w:r w:rsidR="0060715B" w:rsidRPr="004829F6">
              <w:rPr>
                <w:rStyle w:val="Appelnotedebasdep"/>
              </w:rPr>
              <w:footnoteReference w:id="3"/>
            </w:r>
            <w:r w:rsidR="0060715B" w:rsidRPr="004829F6">
              <w:t xml:space="preserve"> </w:t>
            </w:r>
            <w:r w:rsidRPr="004829F6">
              <w:t xml:space="preserve"> sur une échelle de 1 à </w:t>
            </w:r>
            <w:r w:rsidR="0060715B" w:rsidRPr="004829F6">
              <w:t>7) *</w:t>
            </w:r>
            <w:r w:rsidR="000023F5" w:rsidRPr="004829F6">
              <w:t xml:space="preserve"> : </w:t>
            </w:r>
            <w:r w:rsidR="00AA192B">
              <w:rPr>
                <w:szCs w:val="18"/>
              </w:rPr>
              <w:fldChar w:fldCharType="begin">
                <w:ffData>
                  <w:name w:val="Texte1"/>
                  <w:enabled/>
                  <w:calcOnExit w:val="0"/>
                  <w:textInput/>
                </w:ffData>
              </w:fldChar>
            </w:r>
            <w:r w:rsidR="00AA192B">
              <w:rPr>
                <w:szCs w:val="18"/>
              </w:rPr>
              <w:instrText xml:space="preserve"> FORMTEXT </w:instrText>
            </w:r>
            <w:r w:rsidR="00AA192B">
              <w:rPr>
                <w:szCs w:val="18"/>
              </w:rPr>
            </w:r>
            <w:r w:rsidR="00AA192B">
              <w:rPr>
                <w:szCs w:val="18"/>
              </w:rPr>
              <w:fldChar w:fldCharType="separate"/>
            </w:r>
            <w:r w:rsidR="00AA192B">
              <w:rPr>
                <w:noProof/>
                <w:szCs w:val="18"/>
              </w:rPr>
              <w:t> </w:t>
            </w:r>
            <w:r w:rsidR="00AA192B">
              <w:rPr>
                <w:noProof/>
                <w:szCs w:val="18"/>
              </w:rPr>
              <w:t> </w:t>
            </w:r>
            <w:r w:rsidR="00AA192B">
              <w:rPr>
                <w:noProof/>
                <w:szCs w:val="18"/>
              </w:rPr>
              <w:t> </w:t>
            </w:r>
            <w:r w:rsidR="00AA192B">
              <w:rPr>
                <w:noProof/>
                <w:szCs w:val="18"/>
              </w:rPr>
              <w:t> </w:t>
            </w:r>
            <w:r w:rsidR="00AA192B">
              <w:rPr>
                <w:noProof/>
                <w:szCs w:val="18"/>
              </w:rPr>
              <w:t> </w:t>
            </w:r>
            <w:r w:rsidR="00AA192B">
              <w:rPr>
                <w:szCs w:val="18"/>
              </w:rPr>
              <w:fldChar w:fldCharType="end"/>
            </w:r>
            <w:r w:rsidR="000023F5" w:rsidRPr="004829F6">
              <w:t>/</w:t>
            </w:r>
            <w:r w:rsidR="009446FB" w:rsidRPr="004829F6">
              <w:t xml:space="preserve"> </w:t>
            </w:r>
            <w:r w:rsidR="000023F5" w:rsidRPr="004829F6">
              <w:t>7</w:t>
            </w:r>
          </w:p>
          <w:p w14:paraId="3C2EB8FD" w14:textId="77777777" w:rsidR="00323718" w:rsidRPr="0004050C" w:rsidRDefault="00323718" w:rsidP="0004050C">
            <w:pPr>
              <w:autoSpaceDE w:val="0"/>
              <w:autoSpaceDN w:val="0"/>
              <w:adjustRightInd w:val="0"/>
              <w:spacing w:after="0" w:line="360" w:lineRule="auto"/>
              <w:rPr>
                <w:rFonts w:cs="CenturyGothic"/>
                <w:color w:val="000000"/>
                <w:szCs w:val="18"/>
              </w:rPr>
            </w:pPr>
          </w:p>
          <w:tbl>
            <w:tblPr>
              <w:tblStyle w:val="Grilledutableau"/>
              <w:tblW w:w="0" w:type="auto"/>
              <w:tblLook w:val="04A0" w:firstRow="1" w:lastRow="0" w:firstColumn="1" w:lastColumn="0" w:noHBand="0" w:noVBand="1"/>
            </w:tblPr>
            <w:tblGrid>
              <w:gridCol w:w="988"/>
              <w:gridCol w:w="708"/>
              <w:gridCol w:w="709"/>
              <w:gridCol w:w="707"/>
              <w:gridCol w:w="705"/>
              <w:gridCol w:w="856"/>
              <w:gridCol w:w="851"/>
            </w:tblGrid>
            <w:tr w:rsidR="00323718" w:rsidRPr="004829F6" w14:paraId="0EB68533" w14:textId="77777777" w:rsidTr="009825F1">
              <w:tc>
                <w:tcPr>
                  <w:tcW w:w="988" w:type="dxa"/>
                </w:tcPr>
                <w:p w14:paraId="677B9B39" w14:textId="77777777" w:rsidR="00323718" w:rsidRPr="0004050C" w:rsidRDefault="00323718" w:rsidP="00323718">
                  <w:pPr>
                    <w:autoSpaceDE w:val="0"/>
                    <w:autoSpaceDN w:val="0"/>
                    <w:adjustRightInd w:val="0"/>
                    <w:spacing w:after="0"/>
                    <w:jc w:val="center"/>
                    <w:rPr>
                      <w:rFonts w:cs="CenturyGothic"/>
                      <w:color w:val="000000"/>
                      <w:szCs w:val="18"/>
                    </w:rPr>
                  </w:pPr>
                  <w:r w:rsidRPr="0004050C">
                    <w:rPr>
                      <w:rFonts w:cs="CenturyGothic"/>
                      <w:color w:val="000000"/>
                      <w:szCs w:val="18"/>
                    </w:rPr>
                    <w:t>1</w:t>
                  </w:r>
                </w:p>
              </w:tc>
              <w:tc>
                <w:tcPr>
                  <w:tcW w:w="708" w:type="dxa"/>
                </w:tcPr>
                <w:p w14:paraId="0BFEC755" w14:textId="77777777" w:rsidR="00323718" w:rsidRPr="0004050C" w:rsidRDefault="00323718" w:rsidP="00323718">
                  <w:pPr>
                    <w:autoSpaceDE w:val="0"/>
                    <w:autoSpaceDN w:val="0"/>
                    <w:adjustRightInd w:val="0"/>
                    <w:spacing w:after="0"/>
                    <w:jc w:val="center"/>
                    <w:rPr>
                      <w:rFonts w:cs="CenturyGothic"/>
                      <w:color w:val="000000"/>
                      <w:szCs w:val="18"/>
                    </w:rPr>
                  </w:pPr>
                  <w:r w:rsidRPr="0004050C">
                    <w:rPr>
                      <w:rFonts w:cs="CenturyGothic"/>
                      <w:color w:val="000000"/>
                      <w:szCs w:val="18"/>
                    </w:rPr>
                    <w:t>2</w:t>
                  </w:r>
                </w:p>
              </w:tc>
              <w:tc>
                <w:tcPr>
                  <w:tcW w:w="709" w:type="dxa"/>
                </w:tcPr>
                <w:p w14:paraId="4831B164" w14:textId="77777777" w:rsidR="00323718" w:rsidRPr="0004050C" w:rsidRDefault="00323718" w:rsidP="00323718">
                  <w:pPr>
                    <w:autoSpaceDE w:val="0"/>
                    <w:autoSpaceDN w:val="0"/>
                    <w:adjustRightInd w:val="0"/>
                    <w:spacing w:after="0"/>
                    <w:jc w:val="center"/>
                    <w:rPr>
                      <w:rFonts w:cs="CenturyGothic"/>
                      <w:color w:val="000000"/>
                      <w:szCs w:val="18"/>
                    </w:rPr>
                  </w:pPr>
                  <w:r w:rsidRPr="0004050C">
                    <w:rPr>
                      <w:rFonts w:cs="CenturyGothic"/>
                      <w:color w:val="000000"/>
                      <w:szCs w:val="18"/>
                    </w:rPr>
                    <w:t>3</w:t>
                  </w:r>
                </w:p>
              </w:tc>
              <w:tc>
                <w:tcPr>
                  <w:tcW w:w="707" w:type="dxa"/>
                </w:tcPr>
                <w:p w14:paraId="356F14EF" w14:textId="77777777" w:rsidR="00323718" w:rsidRPr="0004050C" w:rsidRDefault="00323718" w:rsidP="00323718">
                  <w:pPr>
                    <w:autoSpaceDE w:val="0"/>
                    <w:autoSpaceDN w:val="0"/>
                    <w:adjustRightInd w:val="0"/>
                    <w:spacing w:after="0"/>
                    <w:jc w:val="center"/>
                    <w:rPr>
                      <w:rFonts w:cs="CenturyGothic"/>
                      <w:color w:val="000000"/>
                      <w:szCs w:val="18"/>
                    </w:rPr>
                  </w:pPr>
                  <w:r w:rsidRPr="0004050C">
                    <w:rPr>
                      <w:rFonts w:cs="CenturyGothic"/>
                      <w:color w:val="000000"/>
                      <w:szCs w:val="18"/>
                    </w:rPr>
                    <w:t>4</w:t>
                  </w:r>
                </w:p>
              </w:tc>
              <w:tc>
                <w:tcPr>
                  <w:tcW w:w="705" w:type="dxa"/>
                </w:tcPr>
                <w:p w14:paraId="0182D2DE" w14:textId="77777777" w:rsidR="00323718" w:rsidRPr="0004050C" w:rsidRDefault="00323718" w:rsidP="00323718">
                  <w:pPr>
                    <w:autoSpaceDE w:val="0"/>
                    <w:autoSpaceDN w:val="0"/>
                    <w:adjustRightInd w:val="0"/>
                    <w:spacing w:after="0"/>
                    <w:jc w:val="center"/>
                    <w:rPr>
                      <w:rFonts w:cs="CenturyGothic"/>
                      <w:color w:val="000000"/>
                      <w:szCs w:val="18"/>
                    </w:rPr>
                  </w:pPr>
                  <w:r w:rsidRPr="0004050C">
                    <w:rPr>
                      <w:rFonts w:cs="CenturyGothic"/>
                      <w:color w:val="000000"/>
                      <w:szCs w:val="18"/>
                    </w:rPr>
                    <w:t>5</w:t>
                  </w:r>
                </w:p>
              </w:tc>
              <w:tc>
                <w:tcPr>
                  <w:tcW w:w="856" w:type="dxa"/>
                </w:tcPr>
                <w:p w14:paraId="12E0516A" w14:textId="77777777" w:rsidR="00323718" w:rsidRPr="0004050C" w:rsidRDefault="00323718" w:rsidP="00323718">
                  <w:pPr>
                    <w:autoSpaceDE w:val="0"/>
                    <w:autoSpaceDN w:val="0"/>
                    <w:adjustRightInd w:val="0"/>
                    <w:spacing w:after="0"/>
                    <w:jc w:val="center"/>
                    <w:rPr>
                      <w:rFonts w:cs="CenturyGothic"/>
                      <w:color w:val="000000"/>
                      <w:szCs w:val="18"/>
                    </w:rPr>
                  </w:pPr>
                  <w:r w:rsidRPr="0004050C">
                    <w:rPr>
                      <w:rFonts w:cs="CenturyGothic"/>
                      <w:color w:val="000000"/>
                      <w:szCs w:val="18"/>
                    </w:rPr>
                    <w:t>6</w:t>
                  </w:r>
                </w:p>
              </w:tc>
              <w:tc>
                <w:tcPr>
                  <w:tcW w:w="851" w:type="dxa"/>
                </w:tcPr>
                <w:p w14:paraId="429FFCEA" w14:textId="77777777" w:rsidR="00323718" w:rsidRPr="0004050C" w:rsidRDefault="00323718" w:rsidP="00323718">
                  <w:pPr>
                    <w:autoSpaceDE w:val="0"/>
                    <w:autoSpaceDN w:val="0"/>
                    <w:adjustRightInd w:val="0"/>
                    <w:spacing w:after="0"/>
                    <w:jc w:val="center"/>
                    <w:rPr>
                      <w:rFonts w:cs="CenturyGothic"/>
                      <w:color w:val="000000"/>
                      <w:szCs w:val="18"/>
                    </w:rPr>
                  </w:pPr>
                  <w:r w:rsidRPr="0004050C">
                    <w:rPr>
                      <w:rFonts w:cs="CenturyGothic"/>
                      <w:color w:val="000000"/>
                      <w:szCs w:val="18"/>
                    </w:rPr>
                    <w:t>7</w:t>
                  </w:r>
                </w:p>
              </w:tc>
            </w:tr>
          </w:tbl>
          <w:p w14:paraId="1023CE59" w14:textId="6A92552F" w:rsidR="0068381F" w:rsidRPr="0004050C" w:rsidRDefault="00B225F6" w:rsidP="00B225F6">
            <w:pPr>
              <w:pStyle w:val="NormalHuge"/>
              <w:spacing w:before="120" w:after="0"/>
              <w:rPr>
                <w:i/>
                <w:iCs/>
                <w:color w:val="000000"/>
                <w:sz w:val="16"/>
                <w:szCs w:val="16"/>
              </w:rPr>
            </w:pPr>
            <w:r w:rsidRPr="0004050C">
              <w:rPr>
                <w:i/>
                <w:iCs/>
                <w:color w:val="000000"/>
                <w:sz w:val="16"/>
                <w:szCs w:val="16"/>
              </w:rPr>
              <w:t xml:space="preserve">  </w:t>
            </w:r>
            <w:r w:rsidR="0068381F" w:rsidRPr="0004050C">
              <w:rPr>
                <w:i/>
                <w:iCs/>
                <w:color w:val="000000"/>
                <w:sz w:val="16"/>
                <w:szCs w:val="16"/>
              </w:rPr>
              <w:t xml:space="preserve">* </w:t>
            </w:r>
            <w:r w:rsidR="005238D8" w:rsidRPr="0004050C">
              <w:rPr>
                <w:i/>
                <w:iCs/>
                <w:color w:val="000000"/>
                <w:sz w:val="16"/>
                <w:szCs w:val="16"/>
              </w:rPr>
              <w:t xml:space="preserve">A </w:t>
            </w:r>
            <w:r w:rsidR="0068381F" w:rsidRPr="0004050C">
              <w:rPr>
                <w:i/>
                <w:iCs/>
                <w:color w:val="000000"/>
                <w:sz w:val="16"/>
                <w:szCs w:val="16"/>
              </w:rPr>
              <w:t>risque plus faible, rendement potentiel plus faible – A risque plus élevé, rendement potentiel plus élevé</w:t>
            </w:r>
          </w:p>
          <w:p w14:paraId="01D1EF20" w14:textId="77777777" w:rsidR="008C3E50" w:rsidRPr="0004050C" w:rsidRDefault="008C3E50" w:rsidP="008C3E50">
            <w:pPr>
              <w:autoSpaceDE w:val="0"/>
              <w:autoSpaceDN w:val="0"/>
              <w:adjustRightInd w:val="0"/>
              <w:rPr>
                <w:rFonts w:cs="Arial"/>
                <w:szCs w:val="18"/>
              </w:rPr>
            </w:pPr>
          </w:p>
          <w:p w14:paraId="41761254" w14:textId="39681776" w:rsidR="008C3E50" w:rsidRPr="004829F6" w:rsidRDefault="008C3E50" w:rsidP="008C3E50">
            <w:pPr>
              <w:autoSpaceDE w:val="0"/>
              <w:autoSpaceDN w:val="0"/>
              <w:adjustRightInd w:val="0"/>
              <w:rPr>
                <w:rFonts w:cs="Arial"/>
                <w:szCs w:val="18"/>
              </w:rPr>
            </w:pPr>
            <w:r w:rsidRPr="004829F6">
              <w:rPr>
                <w:rFonts w:cs="Arial"/>
                <w:szCs w:val="18"/>
              </w:rPr>
              <w:t xml:space="preserve">Le portefeuille sera composé </w:t>
            </w:r>
            <w:r w:rsidRPr="004829F6">
              <w:rPr>
                <w:rFonts w:cs="Arial"/>
                <w:b/>
                <w:szCs w:val="18"/>
              </w:rPr>
              <w:t xml:space="preserve">(*) </w:t>
            </w:r>
            <w:r w:rsidRPr="004829F6">
              <w:rPr>
                <w:rFonts w:cs="Arial"/>
                <w:szCs w:val="18"/>
              </w:rPr>
              <w:t>:</w:t>
            </w:r>
          </w:p>
          <w:p w14:paraId="6958C98E" w14:textId="77777777" w:rsidR="005C64BD" w:rsidRPr="004829F6" w:rsidRDefault="005C64BD" w:rsidP="008C3E50">
            <w:pPr>
              <w:autoSpaceDE w:val="0"/>
              <w:autoSpaceDN w:val="0"/>
              <w:adjustRightInd w:val="0"/>
              <w:rPr>
                <w:rFonts w:cs="Arial"/>
                <w:szCs w:val="18"/>
              </w:rPr>
            </w:pPr>
          </w:p>
          <w:p w14:paraId="3697C205" w14:textId="23020828" w:rsidR="008C3E50" w:rsidRPr="004829F6" w:rsidRDefault="00720D52" w:rsidP="008C3E50">
            <w:pPr>
              <w:autoSpaceDE w:val="0"/>
              <w:autoSpaceDN w:val="0"/>
              <w:adjustRightInd w:val="0"/>
              <w:ind w:left="708"/>
              <w:rPr>
                <w:rFonts w:cs="Arial"/>
                <w:szCs w:val="18"/>
              </w:rPr>
            </w:pPr>
            <w:r>
              <w:rPr>
                <w:rFonts w:cs="Arial"/>
                <w:noProof/>
              </w:rPr>
              <w:t xml:space="preserve"> </w:t>
            </w:r>
            <w:sdt>
              <w:sdtPr>
                <w:rPr>
                  <w:rFonts w:cs="Arial"/>
                  <w:noProof/>
                </w:rPr>
                <w:id w:val="-135573284"/>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sidR="008C3E50" w:rsidRPr="004829F6">
              <w:rPr>
                <w:rFonts w:eastAsia="ZapfDingbatsITC" w:cs="Arial"/>
                <w:szCs w:val="18"/>
              </w:rPr>
              <w:t xml:space="preserve"> </w:t>
            </w:r>
            <w:r w:rsidR="008C3E50" w:rsidRPr="004829F6">
              <w:rPr>
                <w:rFonts w:cs="Arial"/>
                <w:szCs w:val="18"/>
              </w:rPr>
              <w:t>d’actions, d’obligations (ou produits assimilés sauf PEA) détenues en direct et d’OPC à</w:t>
            </w:r>
            <w:r w:rsidR="005C64BD" w:rsidRPr="004829F6">
              <w:rPr>
                <w:rFonts w:cs="Arial"/>
                <w:szCs w:val="18"/>
              </w:rPr>
              <w:t xml:space="preserve"> la</w:t>
            </w:r>
            <w:r w:rsidR="008C3E50" w:rsidRPr="004829F6">
              <w:rPr>
                <w:rFonts w:cs="Arial"/>
                <w:szCs w:val="18"/>
              </w:rPr>
              <w:t xml:space="preserve"> condition que l’encours du mandat de gestion soit supérieur à 100 000 euros</w:t>
            </w:r>
          </w:p>
          <w:p w14:paraId="76FB0664" w14:textId="77777777" w:rsidR="008C3E50" w:rsidRPr="004829F6" w:rsidRDefault="008C3E50" w:rsidP="008C3E50">
            <w:pPr>
              <w:autoSpaceDE w:val="0"/>
              <w:autoSpaceDN w:val="0"/>
              <w:adjustRightInd w:val="0"/>
              <w:ind w:left="708"/>
              <w:rPr>
                <w:rFonts w:cs="Arial"/>
                <w:szCs w:val="18"/>
              </w:rPr>
            </w:pPr>
          </w:p>
          <w:p w14:paraId="17311C99" w14:textId="63FD0809" w:rsidR="008C3E50" w:rsidRPr="004829F6" w:rsidRDefault="00720D52" w:rsidP="008C3E50">
            <w:pPr>
              <w:autoSpaceDE w:val="0"/>
              <w:autoSpaceDN w:val="0"/>
              <w:adjustRightInd w:val="0"/>
              <w:ind w:left="708"/>
              <w:rPr>
                <w:rFonts w:cs="Arial"/>
                <w:szCs w:val="18"/>
              </w:rPr>
            </w:pPr>
            <w:r>
              <w:rPr>
                <w:rFonts w:cs="Arial"/>
                <w:noProof/>
              </w:rPr>
              <w:t xml:space="preserve"> </w:t>
            </w:r>
            <w:sdt>
              <w:sdtPr>
                <w:rPr>
                  <w:rFonts w:cs="Arial"/>
                  <w:noProof/>
                </w:rPr>
                <w:id w:val="1763946280"/>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r w:rsidR="008C3E50" w:rsidRPr="004829F6">
              <w:rPr>
                <w:rFonts w:eastAsia="ZapfDingbatsITC" w:cs="Arial"/>
                <w:szCs w:val="18"/>
              </w:rPr>
              <w:t xml:space="preserve"> </w:t>
            </w:r>
            <w:r w:rsidR="005C64BD" w:rsidRPr="004829F6">
              <w:rPr>
                <w:rFonts w:eastAsia="ZapfDingbatsITC" w:cs="Arial"/>
                <w:szCs w:val="18"/>
              </w:rPr>
              <w:t xml:space="preserve">ou </w:t>
            </w:r>
            <w:r w:rsidR="008C3E50" w:rsidRPr="004829F6">
              <w:rPr>
                <w:rFonts w:cs="Arial"/>
                <w:szCs w:val="18"/>
              </w:rPr>
              <w:t>uniquement d</w:t>
            </w:r>
            <w:r w:rsidR="005C64BD" w:rsidRPr="004829F6">
              <w:rPr>
                <w:rFonts w:cs="Arial"/>
                <w:szCs w:val="18"/>
              </w:rPr>
              <w:t>’OPC</w:t>
            </w:r>
            <w:r w:rsidR="008C3E50" w:rsidRPr="004829F6">
              <w:rPr>
                <w:rFonts w:cs="Arial"/>
                <w:szCs w:val="18"/>
              </w:rPr>
              <w:t xml:space="preserve"> </w:t>
            </w:r>
          </w:p>
          <w:p w14:paraId="4B99DA8B" w14:textId="25EE9A68" w:rsidR="008C3E50" w:rsidRPr="004829F6" w:rsidRDefault="008C3E50" w:rsidP="008C3E50">
            <w:pPr>
              <w:pStyle w:val="NormalHuge"/>
              <w:spacing w:before="120" w:after="0"/>
            </w:pPr>
            <w:r w:rsidRPr="0004050C">
              <w:rPr>
                <w:rFonts w:cs="Arial"/>
                <w:i/>
                <w:iCs/>
                <w:szCs w:val="18"/>
              </w:rPr>
              <w:t>(*) cocher une et une seule case</w:t>
            </w:r>
          </w:p>
          <w:p w14:paraId="6861E401" w14:textId="77777777" w:rsidR="008C3E50" w:rsidRPr="004829F6" w:rsidRDefault="008C3E50" w:rsidP="00B225F6">
            <w:pPr>
              <w:pStyle w:val="NormalHuge"/>
              <w:spacing w:before="120" w:after="0"/>
            </w:pPr>
          </w:p>
          <w:p w14:paraId="48AFED83" w14:textId="1DF80A6E" w:rsidR="00F7753F" w:rsidRPr="004829F6" w:rsidRDefault="00F7753F" w:rsidP="00B225F6">
            <w:pPr>
              <w:pStyle w:val="NormalHuge"/>
              <w:spacing w:before="120" w:after="0"/>
            </w:pPr>
            <w:r w:rsidRPr="004829F6">
              <w:lastRenderedPageBreak/>
              <w:t xml:space="preserve">Le Mandant déclare expressément avoir signé une convention de compte de dépôt </w:t>
            </w:r>
            <w:r w:rsidR="008A590E" w:rsidRPr="004829F6">
              <w:t xml:space="preserve">et/ou courant </w:t>
            </w:r>
            <w:r w:rsidRPr="004829F6">
              <w:t>avec la BANQUE et une convention de compte d’instruments financiers et de services. Les numéros des comptes concernés sont mentionnés ci-dessus.</w:t>
            </w:r>
          </w:p>
          <w:p w14:paraId="2037863B" w14:textId="60E85627" w:rsidR="0068381F" w:rsidRPr="004829F6" w:rsidRDefault="00F7753F" w:rsidP="00B225F6">
            <w:pPr>
              <w:pStyle w:val="NormalHuge"/>
              <w:spacing w:before="120" w:after="0"/>
            </w:pPr>
            <w:r w:rsidRPr="004829F6">
              <w:t xml:space="preserve">Au titre des présentes, on entendra par </w:t>
            </w:r>
            <w:r w:rsidR="00931CAB" w:rsidRPr="004829F6">
              <w:t>« </w:t>
            </w:r>
            <w:r w:rsidRPr="004829F6">
              <w:t>Mandat</w:t>
            </w:r>
            <w:r w:rsidR="00931CAB" w:rsidRPr="004829F6">
              <w:t> »</w:t>
            </w:r>
            <w:r w:rsidRPr="004829F6">
              <w:t xml:space="preserve"> les diligences confiées par le Mandant à la BANQUE conformément à l'article 1 ci-après.</w:t>
            </w:r>
            <w:r w:rsidR="0068381F" w:rsidRPr="004829F6">
              <w:t xml:space="preserve"> </w:t>
            </w:r>
          </w:p>
          <w:p w14:paraId="131A2291" w14:textId="76F67E22" w:rsidR="00F7753F" w:rsidRPr="004829F6" w:rsidRDefault="0060715B" w:rsidP="00B225F6">
            <w:pPr>
              <w:pStyle w:val="NormalHuge"/>
              <w:spacing w:before="120" w:after="0"/>
            </w:pPr>
            <w:r w:rsidRPr="004829F6">
              <w:t>Le présent</w:t>
            </w:r>
            <w:r w:rsidR="00F7753F" w:rsidRPr="004829F6">
              <w:t xml:space="preserve"> Mandat et ses annexes forment un tout indivisible (ci-après le « </w:t>
            </w:r>
            <w:r w:rsidR="00F7753F" w:rsidRPr="004829F6">
              <w:rPr>
                <w:rStyle w:val="NormalBoldCar"/>
              </w:rPr>
              <w:t>Mandat</w:t>
            </w:r>
            <w:r w:rsidR="00F7753F" w:rsidRPr="004829F6">
              <w:t xml:space="preserve"> »).</w:t>
            </w:r>
          </w:p>
          <w:p w14:paraId="4DE81EA8" w14:textId="77777777" w:rsidR="0060715B" w:rsidRPr="004829F6" w:rsidRDefault="0060715B" w:rsidP="00B225F6">
            <w:pPr>
              <w:pStyle w:val="NormalHuge"/>
              <w:spacing w:before="120" w:after="0"/>
            </w:pPr>
          </w:p>
          <w:p w14:paraId="0D255A1B" w14:textId="54F1737B" w:rsidR="0060715B" w:rsidRPr="004829F6" w:rsidRDefault="0060715B" w:rsidP="00B225F6">
            <w:pPr>
              <w:pStyle w:val="NormalHuge"/>
              <w:spacing w:before="120" w:after="0"/>
            </w:pPr>
          </w:p>
        </w:tc>
      </w:tr>
    </w:tbl>
    <w:p w14:paraId="79C27E60" w14:textId="77777777" w:rsidR="00AF102A" w:rsidRPr="004829F6" w:rsidRDefault="00AF102A" w:rsidP="00F12727">
      <w:pPr>
        <w:pStyle w:val="Articles"/>
      </w:pPr>
      <w:r w:rsidRPr="004829F6">
        <w:lastRenderedPageBreak/>
        <w:t> </w:t>
      </w:r>
      <w:bookmarkStart w:id="2" w:name="_Ref515543515"/>
      <w:r w:rsidRPr="004829F6">
        <w:t>Objet du Mandat</w:t>
      </w:r>
      <w:bookmarkEnd w:id="2"/>
    </w:p>
    <w:p w14:paraId="357729FA" w14:textId="3765CDC0" w:rsidR="00DB7096" w:rsidRPr="004829F6" w:rsidRDefault="00DB7096" w:rsidP="00DB7096">
      <w:pPr>
        <w:pStyle w:val="NormalHuge"/>
      </w:pPr>
      <w:r w:rsidRPr="004829F6">
        <w:t>Le Mandant donne Mandat à la B</w:t>
      </w:r>
      <w:r w:rsidR="00E00E7A" w:rsidRPr="004829F6">
        <w:t>anque</w:t>
      </w:r>
      <w:r w:rsidR="00506C7E" w:rsidRPr="004829F6">
        <w:t xml:space="preserve"> </w:t>
      </w:r>
      <w:r w:rsidR="004716BE" w:rsidRPr="004829F6">
        <w:t>Populaire Rives de Paris</w:t>
      </w:r>
      <w:r w:rsidRPr="004829F6">
        <w:t xml:space="preserve"> (ci-après, la « </w:t>
      </w:r>
      <w:r w:rsidRPr="004829F6">
        <w:rPr>
          <w:rStyle w:val="NormalBoldCar"/>
        </w:rPr>
        <w:t>BANQUE</w:t>
      </w:r>
      <w:r w:rsidRPr="004829F6">
        <w:t> »), qui l’accepte, de gérer en son nom et pour son compte, de manière individualisée et discrétionnaire, les avoirs en espèces et en instruments financiers (portefeuille) déposés sur les comptes spécifiés dont le Mandant est titulaire</w:t>
      </w:r>
      <w:r w:rsidR="00FE16E9" w:rsidRPr="004829F6">
        <w:t>, étant précisé que ces comptes peuvent comporter des titres financiers qui ne font pas l’objet du Mandat</w:t>
      </w:r>
      <w:r w:rsidRPr="004829F6">
        <w:t>.</w:t>
      </w:r>
    </w:p>
    <w:p w14:paraId="37923476" w14:textId="79BC89A8" w:rsidR="00DB7096" w:rsidRPr="004829F6" w:rsidRDefault="00DB7096" w:rsidP="00DB7096">
      <w:pPr>
        <w:pStyle w:val="NormalHuge"/>
      </w:pPr>
      <w:r w:rsidRPr="004829F6">
        <w:t>Lorsque le Mandat est donné dans le cadre d’un Plan d’Épargne en Actions (PEA), le Mandant reconnaît avoir conclu et signé un contrat d’ouverture de compte PEA avec la BANQUE et avoir été informé de l’ensemble des dispositions réglementaires et fiscales relatives à ce placement : modalités d’alimentation, plafond des versements, titres éligibles, durée etc. Le Mandant reconnaît, notamment, avoir été averti des conséquences liées à un retrait (titres ou espèces) et en particulier avant le délai prévu par les textes.</w:t>
      </w:r>
    </w:p>
    <w:p w14:paraId="50F9DC0E" w14:textId="5A5DE0CB" w:rsidR="00FE16E9" w:rsidRPr="004829F6" w:rsidRDefault="00FE16E9" w:rsidP="00FE16E9">
      <w:pPr>
        <w:pStyle w:val="NormalHuge"/>
      </w:pPr>
      <w:r w:rsidRPr="004829F6">
        <w:t>Le Mandant est également informé que les retraits fréquents et/ou importants peuvent déstructurer le compte géré et rendre ainsi nécessaire de procéder à de nouvelles opérations afin de rétablir le profil de gestion défini dans le Mandat.</w:t>
      </w:r>
    </w:p>
    <w:p w14:paraId="7EF36822" w14:textId="77777777" w:rsidR="00DB7096" w:rsidRPr="004829F6" w:rsidRDefault="00DB7096" w:rsidP="00DB7096">
      <w:pPr>
        <w:pStyle w:val="NormalHuge"/>
      </w:pPr>
      <w:r w:rsidRPr="004829F6">
        <w:t>Pour une bonne exécution du Mandat, le Mandant s’interdit expressément, pendant toute la durée du Mandat, d'intervenir dans la gestion de son portefeuille réalisée par la BANQUE qui prend de sa seule initiative toutes les décisions relatives à la gestion du portefeuille, compte tenu du profil de gestion retenu, ce que le Mandant accepte expressément.</w:t>
      </w:r>
    </w:p>
    <w:p w14:paraId="5AEED550" w14:textId="77777777" w:rsidR="00DB7096" w:rsidRPr="004829F6" w:rsidRDefault="00DB7096" w:rsidP="00DB7096">
      <w:pPr>
        <w:pStyle w:val="NormalHuge"/>
      </w:pPr>
      <w:r w:rsidRPr="004829F6">
        <w:t>Plus généralement, le Mandant déclare avoir connaissance des avantages et inconvénients de la gestion d'instruments financiers et être ainsi en mesure d'accepter sans réserve toutes les conséquences de l’exécution du présent Mandat.</w:t>
      </w:r>
    </w:p>
    <w:p w14:paraId="18E8D46B" w14:textId="77777777" w:rsidR="008C3E50" w:rsidRPr="004829F6" w:rsidRDefault="008C3E50" w:rsidP="00DB7096">
      <w:pPr>
        <w:pStyle w:val="NormalHuge"/>
      </w:pPr>
    </w:p>
    <w:p w14:paraId="177A4CBC" w14:textId="73E7C155" w:rsidR="00AF102A" w:rsidRPr="004829F6" w:rsidRDefault="00AF102A" w:rsidP="00F12727">
      <w:pPr>
        <w:pStyle w:val="Articles"/>
      </w:pPr>
      <w:r w:rsidRPr="004829F6">
        <w:t> </w:t>
      </w:r>
      <w:r w:rsidR="00402279" w:rsidRPr="004829F6">
        <w:t>SOUS-</w:t>
      </w:r>
      <w:r w:rsidR="00DB7096" w:rsidRPr="004829F6">
        <w:t>Délégation de gestion financière</w:t>
      </w:r>
    </w:p>
    <w:p w14:paraId="49DE86A3" w14:textId="77777777" w:rsidR="00B225F6" w:rsidRPr="004829F6" w:rsidRDefault="00B225F6" w:rsidP="00B225F6">
      <w:pPr>
        <w:pStyle w:val="NormalHuge"/>
      </w:pPr>
      <w:r w:rsidRPr="004829F6">
        <w:t>Le présent mandat n’est pas d’intérêt exclusif et le MANDATAIRE peut sous-déléguer la gestion financière du contrat à une société de gestion de portefeuille.</w:t>
      </w:r>
    </w:p>
    <w:p w14:paraId="107DA949" w14:textId="4341AE30" w:rsidR="00BF6315" w:rsidRPr="004829F6" w:rsidRDefault="00BF6315" w:rsidP="00BF6315">
      <w:pPr>
        <w:pStyle w:val="NormalHuge"/>
      </w:pPr>
      <w:r w:rsidRPr="004829F6">
        <w:t xml:space="preserve">Dans le cas où la BANQUE envisage de déléguer tout ou partie de la gestion du portefeuille confié, elle s’engage à en informer le Mandant par </w:t>
      </w:r>
      <w:r w:rsidR="004B0CE8" w:rsidRPr="004829F6">
        <w:t>tout moyen écrit</w:t>
      </w:r>
      <w:r w:rsidRPr="004829F6">
        <w:t xml:space="preserve"> au moins trois mois avant la mise en place de cette délégation.</w:t>
      </w:r>
    </w:p>
    <w:p w14:paraId="1FA3C198" w14:textId="6EEC8E3C" w:rsidR="00BD03C9" w:rsidRPr="004829F6" w:rsidRDefault="00BF6315" w:rsidP="00DB7096">
      <w:pPr>
        <w:pStyle w:val="NormalHuge"/>
      </w:pPr>
      <w:r w:rsidRPr="004829F6">
        <w:t>En cas de délégation, le Mandant autorisera le Mandataire à communiquer à ladite société de gestion un double du présent mandat de gestion ainsi que toutes les informations relatives à son compte d’instruments financiers, objet du présent mandat, en vue de le gérer.</w:t>
      </w:r>
      <w:r w:rsidR="00851C19" w:rsidRPr="004829F6">
        <w:t xml:space="preserve"> </w:t>
      </w:r>
      <w:r w:rsidRPr="004829F6">
        <w:t xml:space="preserve">En cas de cessation de la délégation, le Mandataire en informera le Mandant par </w:t>
      </w:r>
      <w:r w:rsidR="004B0CE8" w:rsidRPr="004829F6">
        <w:t>tout moyen écrit</w:t>
      </w:r>
      <w:r w:rsidRPr="004829F6">
        <w:t xml:space="preserve"> au moins trois mois avant cette cessation. Le Mandat se poursuivra alors dans les mêmes conditions sauf dénonciation par le Mandant ou par le Mandataire.</w:t>
      </w:r>
      <w:r w:rsidR="00BD03C9" w:rsidRPr="004829F6">
        <w:t xml:space="preserve"> </w:t>
      </w:r>
    </w:p>
    <w:p w14:paraId="613CFF8C" w14:textId="77777777" w:rsidR="00851C19" w:rsidRPr="004829F6" w:rsidRDefault="00851C19" w:rsidP="00DB7096">
      <w:pPr>
        <w:pStyle w:val="NormalHuge"/>
      </w:pPr>
    </w:p>
    <w:p w14:paraId="6846AC86" w14:textId="77777777" w:rsidR="00DB7096" w:rsidRPr="004829F6" w:rsidRDefault="00DB7096" w:rsidP="00F12727">
      <w:pPr>
        <w:pStyle w:val="Articles"/>
      </w:pPr>
      <w:r w:rsidRPr="004829F6">
        <w:t xml:space="preserve"> Objectifs de gestion </w:t>
      </w:r>
      <w:r w:rsidR="007B2147" w:rsidRPr="004829F6">
        <w:t xml:space="preserve">– </w:t>
      </w:r>
      <w:r w:rsidRPr="004829F6">
        <w:t>opérations autorisées</w:t>
      </w:r>
      <w:r w:rsidR="007B2147" w:rsidRPr="004829F6">
        <w:t xml:space="preserve"> et OPERATIONS INTERDITES</w:t>
      </w:r>
    </w:p>
    <w:p w14:paraId="7A557561" w14:textId="77777777" w:rsidR="00DB7096" w:rsidRPr="004829F6" w:rsidRDefault="00DB7096" w:rsidP="00DB7096">
      <w:pPr>
        <w:pStyle w:val="NormalHuge"/>
      </w:pPr>
      <w:r w:rsidRPr="004829F6">
        <w:t>L’objectif et les opérations autorisées dépendent de l’option de gestion choisie par le Mandant. La BANQUE s’engage à mettre en œuvre tout moyen pour atteindre ledit objectif.</w:t>
      </w:r>
    </w:p>
    <w:p w14:paraId="3B850F3D" w14:textId="77777777" w:rsidR="00DB7096" w:rsidRPr="004829F6" w:rsidRDefault="00DB7096" w:rsidP="00DB7096">
      <w:pPr>
        <w:pStyle w:val="NormalHuge"/>
      </w:pPr>
      <w:r w:rsidRPr="004829F6">
        <w:t>Cet objectif de gestion pourra être modifié par le Mandant. Ce dernier devra notifier son nouvel objectif de gestion par écrit à la BANQUE qui après l’avoir accepté, se mettra en conformité avec la nouvelle orientation, selon les modalités du marché, dans un délai maximum de six mois à compter de son acceptation.</w:t>
      </w:r>
    </w:p>
    <w:p w14:paraId="4572055B" w14:textId="3859BAFB" w:rsidR="00904D90" w:rsidRPr="004829F6" w:rsidRDefault="00DB7096" w:rsidP="00DB7096">
      <w:pPr>
        <w:pStyle w:val="NormalHuge"/>
      </w:pPr>
      <w:r w:rsidRPr="004829F6">
        <w:t xml:space="preserve">Pour la gestion du portefeuille, le Mandant autorise la BANQUE à exécuter de sa propre initiative les opérations liées au présent mandat, et non exclues ci-après, relevant du profil de gestion déterminé dans la Synthèse Épargne et la </w:t>
      </w:r>
      <w:r w:rsidR="00170B2C" w:rsidRPr="004829F6">
        <w:t>déclaration</w:t>
      </w:r>
      <w:r w:rsidRPr="004829F6">
        <w:t xml:space="preserve"> d’adéquation.</w:t>
      </w:r>
    </w:p>
    <w:p w14:paraId="65670892" w14:textId="4224C6B3" w:rsidR="00221B73" w:rsidRPr="004829F6" w:rsidRDefault="00221B73" w:rsidP="00221B73">
      <w:pPr>
        <w:pStyle w:val="NormalHuge"/>
      </w:pPr>
      <w:r w:rsidRPr="004829F6">
        <w:t>La BANQUE a la possibilité d’arbitrer en gestion les instruments financiers remboursés qui, avant leur échéance, n’étaient</w:t>
      </w:r>
      <w:r w:rsidR="00812BC5" w:rsidRPr="004829F6">
        <w:t xml:space="preserve"> </w:t>
      </w:r>
      <w:r w:rsidRPr="004829F6">
        <w:t>pas gérés et donc exclus de la tarification prévue.</w:t>
      </w:r>
    </w:p>
    <w:p w14:paraId="5AEB8578" w14:textId="77777777" w:rsidR="00DB7096" w:rsidRPr="004829F6" w:rsidRDefault="00DB7096" w:rsidP="00DB7096">
      <w:pPr>
        <w:pStyle w:val="NormalHuge"/>
      </w:pPr>
      <w:r w:rsidRPr="004829F6">
        <w:lastRenderedPageBreak/>
        <w:t>Le Mandant peut exprimer des contraintes sur la gestion de son portefeuille, ces dernières doivent être acceptées par le Mandataire.</w:t>
      </w:r>
    </w:p>
    <w:p w14:paraId="186C2ED4" w14:textId="3E2EE268" w:rsidR="00DB7096" w:rsidRPr="004829F6" w:rsidRDefault="00DB7096" w:rsidP="00DB7096">
      <w:pPr>
        <w:pStyle w:val="NormalHuge"/>
      </w:pPr>
      <w:r w:rsidRPr="004829F6">
        <w:t xml:space="preserve">Les contraintes de gestion en matière de conservation de valeurs dans le portefeuille ne devront pas excéder </w:t>
      </w:r>
      <w:r w:rsidR="00DB0975" w:rsidRPr="004829F6">
        <w:t>20 </w:t>
      </w:r>
      <w:r w:rsidRPr="004829F6">
        <w:t>% des actifs.</w:t>
      </w:r>
      <w:r w:rsidR="00DB0975" w:rsidRPr="004829F6">
        <w:t xml:space="preserve"> Le montant à gérer hors contraintes devra respecter le minimum fixé dans le présent mandat pour sa mise sous gestion</w:t>
      </w:r>
      <w:r w:rsidR="00CC252D" w:rsidRPr="004829F6">
        <w:t xml:space="preserve">, à savoir 50 000 € </w:t>
      </w:r>
      <w:r w:rsidR="00E00E7A" w:rsidRPr="004829F6">
        <w:t xml:space="preserve">(CINQUANTE MILLE EUROS) </w:t>
      </w:r>
      <w:r w:rsidR="00CC252D" w:rsidRPr="004829F6">
        <w:t xml:space="preserve">pour une gestion en OPC, 100 000 € </w:t>
      </w:r>
      <w:r w:rsidR="00E00E7A" w:rsidRPr="004829F6">
        <w:t xml:space="preserve">(CENT MILLE EUROS) </w:t>
      </w:r>
      <w:r w:rsidR="00CC252D" w:rsidRPr="004829F6">
        <w:t>pour une gestion mixte OPC / Titres.</w:t>
      </w:r>
    </w:p>
    <w:p w14:paraId="094D3384" w14:textId="5FCAF6E3" w:rsidR="00DB7096" w:rsidRPr="004829F6" w:rsidRDefault="00812BC5" w:rsidP="00DB7096">
      <w:pPr>
        <w:pStyle w:val="NormalHuge"/>
      </w:pPr>
      <w:r w:rsidRPr="004829F6">
        <w:t>L</w:t>
      </w:r>
      <w:r w:rsidR="00DB7096" w:rsidRPr="004829F6">
        <w:t>e Mandant peut fixer des contraintes de gestion en matière de conservation et/ou d’exclusion de certaines valeurs dans son portefeuille telles que mentionnées ci-après</w:t>
      </w:r>
      <w:r w:rsidR="00B52C43" w:rsidRPr="004829F6">
        <w:t> </w:t>
      </w:r>
      <w:r w:rsidR="00DB7096" w:rsidRPr="004829F6">
        <w:t>:</w:t>
      </w:r>
    </w:p>
    <w:p w14:paraId="71BE00C7" w14:textId="039AA3B9" w:rsidR="00DB7096" w:rsidRPr="004829F6" w:rsidRDefault="00DB7096" w:rsidP="00DB7096">
      <w:pPr>
        <w:pStyle w:val="NormalHuge"/>
      </w:pPr>
      <w:r w:rsidRPr="004829F6">
        <w:t>[</w:t>
      </w:r>
      <w:r w:rsidR="00BF6315" w:rsidRPr="004829F6">
        <w:t>_</w:t>
      </w:r>
      <w:r w:rsidR="00084F07">
        <w:rPr>
          <w:szCs w:val="18"/>
        </w:rPr>
        <w:fldChar w:fldCharType="begin">
          <w:ffData>
            <w:name w:val="Texte1"/>
            <w:enabled/>
            <w:calcOnExit w:val="0"/>
            <w:textInput/>
          </w:ffData>
        </w:fldChar>
      </w:r>
      <w:r w:rsidR="00084F07">
        <w:rPr>
          <w:szCs w:val="18"/>
        </w:rPr>
        <w:instrText xml:space="preserve"> FORMTEXT </w:instrText>
      </w:r>
      <w:r w:rsidR="00084F07">
        <w:rPr>
          <w:szCs w:val="18"/>
        </w:rPr>
      </w:r>
      <w:r w:rsidR="00084F07">
        <w:rPr>
          <w:szCs w:val="18"/>
        </w:rPr>
        <w:fldChar w:fldCharType="separate"/>
      </w:r>
      <w:r w:rsidR="00084F07">
        <w:rPr>
          <w:noProof/>
          <w:szCs w:val="18"/>
        </w:rPr>
        <w:t> </w:t>
      </w:r>
      <w:r w:rsidR="00084F07">
        <w:rPr>
          <w:noProof/>
          <w:szCs w:val="18"/>
        </w:rPr>
        <w:t> </w:t>
      </w:r>
      <w:r w:rsidR="00084F07">
        <w:rPr>
          <w:noProof/>
          <w:szCs w:val="18"/>
        </w:rPr>
        <w:t> </w:t>
      </w:r>
      <w:r w:rsidR="00084F07">
        <w:rPr>
          <w:noProof/>
          <w:szCs w:val="18"/>
        </w:rPr>
        <w:t> </w:t>
      </w:r>
      <w:r w:rsidR="00084F07">
        <w:rPr>
          <w:noProof/>
          <w:szCs w:val="18"/>
        </w:rPr>
        <w:t> </w:t>
      </w:r>
      <w:r w:rsidR="00084F07">
        <w:rPr>
          <w:szCs w:val="18"/>
        </w:rPr>
        <w:fldChar w:fldCharType="end"/>
      </w:r>
      <w:r w:rsidR="00BF6315" w:rsidRPr="004829F6">
        <w:t>_______________________________________________________________________________________________________________</w:t>
      </w:r>
      <w:r w:rsidR="00084F07">
        <w:rPr>
          <w:szCs w:val="18"/>
        </w:rPr>
        <w:fldChar w:fldCharType="begin">
          <w:ffData>
            <w:name w:val="Texte1"/>
            <w:enabled/>
            <w:calcOnExit w:val="0"/>
            <w:textInput/>
          </w:ffData>
        </w:fldChar>
      </w:r>
      <w:r w:rsidR="00084F07">
        <w:rPr>
          <w:szCs w:val="18"/>
        </w:rPr>
        <w:instrText xml:space="preserve"> FORMTEXT </w:instrText>
      </w:r>
      <w:r w:rsidR="00084F07">
        <w:rPr>
          <w:szCs w:val="18"/>
        </w:rPr>
      </w:r>
      <w:r w:rsidR="00084F07">
        <w:rPr>
          <w:szCs w:val="18"/>
        </w:rPr>
        <w:fldChar w:fldCharType="separate"/>
      </w:r>
      <w:r w:rsidR="00084F07">
        <w:rPr>
          <w:noProof/>
          <w:szCs w:val="18"/>
        </w:rPr>
        <w:t> </w:t>
      </w:r>
      <w:r w:rsidR="00084F07">
        <w:rPr>
          <w:noProof/>
          <w:szCs w:val="18"/>
        </w:rPr>
        <w:t> </w:t>
      </w:r>
      <w:r w:rsidR="00084F07">
        <w:rPr>
          <w:noProof/>
          <w:szCs w:val="18"/>
        </w:rPr>
        <w:t> </w:t>
      </w:r>
      <w:r w:rsidR="00084F07">
        <w:rPr>
          <w:noProof/>
          <w:szCs w:val="18"/>
        </w:rPr>
        <w:t> </w:t>
      </w:r>
      <w:r w:rsidR="00084F07">
        <w:rPr>
          <w:noProof/>
          <w:szCs w:val="18"/>
        </w:rPr>
        <w:t> </w:t>
      </w:r>
      <w:r w:rsidR="00084F07">
        <w:rPr>
          <w:szCs w:val="18"/>
        </w:rPr>
        <w:fldChar w:fldCharType="end"/>
      </w:r>
      <w:r w:rsidR="00BF6315" w:rsidRPr="004829F6">
        <w:t>_______________________________________________________________________________________________________________</w:t>
      </w:r>
      <w:r w:rsidR="00084F07">
        <w:rPr>
          <w:szCs w:val="18"/>
        </w:rPr>
        <w:fldChar w:fldCharType="begin">
          <w:ffData>
            <w:name w:val="Texte1"/>
            <w:enabled/>
            <w:calcOnExit w:val="0"/>
            <w:textInput/>
          </w:ffData>
        </w:fldChar>
      </w:r>
      <w:r w:rsidR="00084F07">
        <w:rPr>
          <w:szCs w:val="18"/>
        </w:rPr>
        <w:instrText xml:space="preserve"> FORMTEXT </w:instrText>
      </w:r>
      <w:r w:rsidR="00084F07">
        <w:rPr>
          <w:szCs w:val="18"/>
        </w:rPr>
      </w:r>
      <w:r w:rsidR="00084F07">
        <w:rPr>
          <w:szCs w:val="18"/>
        </w:rPr>
        <w:fldChar w:fldCharType="separate"/>
      </w:r>
      <w:r w:rsidR="00084F07">
        <w:rPr>
          <w:noProof/>
          <w:szCs w:val="18"/>
        </w:rPr>
        <w:t> </w:t>
      </w:r>
      <w:r w:rsidR="00084F07">
        <w:rPr>
          <w:noProof/>
          <w:szCs w:val="18"/>
        </w:rPr>
        <w:t> </w:t>
      </w:r>
      <w:r w:rsidR="00084F07">
        <w:rPr>
          <w:noProof/>
          <w:szCs w:val="18"/>
        </w:rPr>
        <w:t> </w:t>
      </w:r>
      <w:r w:rsidR="00084F07">
        <w:rPr>
          <w:noProof/>
          <w:szCs w:val="18"/>
        </w:rPr>
        <w:t> </w:t>
      </w:r>
      <w:r w:rsidR="00084F07">
        <w:rPr>
          <w:noProof/>
          <w:szCs w:val="18"/>
        </w:rPr>
        <w:t> </w:t>
      </w:r>
      <w:r w:rsidR="00084F07">
        <w:rPr>
          <w:szCs w:val="18"/>
        </w:rPr>
        <w:fldChar w:fldCharType="end"/>
      </w:r>
      <w:r w:rsidR="00BF6315" w:rsidRPr="004829F6">
        <w:t>_______________________________________________________________________________________________________________</w:t>
      </w:r>
      <w:r w:rsidR="00084F07">
        <w:rPr>
          <w:szCs w:val="18"/>
        </w:rPr>
        <w:fldChar w:fldCharType="begin">
          <w:ffData>
            <w:name w:val="Texte1"/>
            <w:enabled/>
            <w:calcOnExit w:val="0"/>
            <w:textInput/>
          </w:ffData>
        </w:fldChar>
      </w:r>
      <w:r w:rsidR="00084F07">
        <w:rPr>
          <w:szCs w:val="18"/>
        </w:rPr>
        <w:instrText xml:space="preserve"> FORMTEXT </w:instrText>
      </w:r>
      <w:r w:rsidR="00084F07">
        <w:rPr>
          <w:szCs w:val="18"/>
        </w:rPr>
      </w:r>
      <w:r w:rsidR="00084F07">
        <w:rPr>
          <w:szCs w:val="18"/>
        </w:rPr>
        <w:fldChar w:fldCharType="separate"/>
      </w:r>
      <w:r w:rsidR="00084F07">
        <w:rPr>
          <w:noProof/>
          <w:szCs w:val="18"/>
        </w:rPr>
        <w:t> </w:t>
      </w:r>
      <w:r w:rsidR="00084F07">
        <w:rPr>
          <w:noProof/>
          <w:szCs w:val="18"/>
        </w:rPr>
        <w:t> </w:t>
      </w:r>
      <w:r w:rsidR="00084F07">
        <w:rPr>
          <w:noProof/>
          <w:szCs w:val="18"/>
        </w:rPr>
        <w:t> </w:t>
      </w:r>
      <w:r w:rsidR="00084F07">
        <w:rPr>
          <w:noProof/>
          <w:szCs w:val="18"/>
        </w:rPr>
        <w:t> </w:t>
      </w:r>
      <w:r w:rsidR="00084F07">
        <w:rPr>
          <w:noProof/>
          <w:szCs w:val="18"/>
        </w:rPr>
        <w:t> </w:t>
      </w:r>
      <w:r w:rsidR="00084F07">
        <w:rPr>
          <w:szCs w:val="18"/>
        </w:rPr>
        <w:fldChar w:fldCharType="end"/>
      </w:r>
      <w:r w:rsidR="00BF6315" w:rsidRPr="004829F6">
        <w:t>_______________________________________________________________________________________________________________</w:t>
      </w:r>
      <w:r w:rsidR="00084F07">
        <w:rPr>
          <w:szCs w:val="18"/>
        </w:rPr>
        <w:fldChar w:fldCharType="begin">
          <w:ffData>
            <w:name w:val="Texte1"/>
            <w:enabled/>
            <w:calcOnExit w:val="0"/>
            <w:textInput/>
          </w:ffData>
        </w:fldChar>
      </w:r>
      <w:r w:rsidR="00084F07">
        <w:rPr>
          <w:szCs w:val="18"/>
        </w:rPr>
        <w:instrText xml:space="preserve"> FORMTEXT </w:instrText>
      </w:r>
      <w:r w:rsidR="00084F07">
        <w:rPr>
          <w:szCs w:val="18"/>
        </w:rPr>
      </w:r>
      <w:r w:rsidR="00084F07">
        <w:rPr>
          <w:szCs w:val="18"/>
        </w:rPr>
        <w:fldChar w:fldCharType="separate"/>
      </w:r>
      <w:r w:rsidR="00084F07">
        <w:rPr>
          <w:noProof/>
          <w:szCs w:val="18"/>
        </w:rPr>
        <w:t> </w:t>
      </w:r>
      <w:r w:rsidR="00084F07">
        <w:rPr>
          <w:noProof/>
          <w:szCs w:val="18"/>
        </w:rPr>
        <w:t> </w:t>
      </w:r>
      <w:r w:rsidR="00084F07">
        <w:rPr>
          <w:noProof/>
          <w:szCs w:val="18"/>
        </w:rPr>
        <w:t> </w:t>
      </w:r>
      <w:r w:rsidR="00084F07">
        <w:rPr>
          <w:noProof/>
          <w:szCs w:val="18"/>
        </w:rPr>
        <w:t> </w:t>
      </w:r>
      <w:r w:rsidR="00084F07">
        <w:rPr>
          <w:noProof/>
          <w:szCs w:val="18"/>
        </w:rPr>
        <w:t> </w:t>
      </w:r>
      <w:r w:rsidR="00084F07">
        <w:rPr>
          <w:szCs w:val="18"/>
        </w:rPr>
        <w:fldChar w:fldCharType="end"/>
      </w:r>
      <w:r w:rsidR="00BF6315" w:rsidRPr="004829F6">
        <w:t>_______________________________________________________________________________________________________________</w:t>
      </w:r>
      <w:r w:rsidR="00084F07">
        <w:rPr>
          <w:szCs w:val="18"/>
        </w:rPr>
        <w:fldChar w:fldCharType="begin">
          <w:ffData>
            <w:name w:val="Texte1"/>
            <w:enabled/>
            <w:calcOnExit w:val="0"/>
            <w:textInput/>
          </w:ffData>
        </w:fldChar>
      </w:r>
      <w:r w:rsidR="00084F07">
        <w:rPr>
          <w:szCs w:val="18"/>
        </w:rPr>
        <w:instrText xml:space="preserve"> FORMTEXT </w:instrText>
      </w:r>
      <w:r w:rsidR="00084F07">
        <w:rPr>
          <w:szCs w:val="18"/>
        </w:rPr>
      </w:r>
      <w:r w:rsidR="00084F07">
        <w:rPr>
          <w:szCs w:val="18"/>
        </w:rPr>
        <w:fldChar w:fldCharType="separate"/>
      </w:r>
      <w:r w:rsidR="00084F07">
        <w:rPr>
          <w:noProof/>
          <w:szCs w:val="18"/>
        </w:rPr>
        <w:t> </w:t>
      </w:r>
      <w:r w:rsidR="00084F07">
        <w:rPr>
          <w:noProof/>
          <w:szCs w:val="18"/>
        </w:rPr>
        <w:t> </w:t>
      </w:r>
      <w:r w:rsidR="00084F07">
        <w:rPr>
          <w:noProof/>
          <w:szCs w:val="18"/>
        </w:rPr>
        <w:t> </w:t>
      </w:r>
      <w:r w:rsidR="00084F07">
        <w:rPr>
          <w:noProof/>
          <w:szCs w:val="18"/>
        </w:rPr>
        <w:t> </w:t>
      </w:r>
      <w:r w:rsidR="00084F07">
        <w:rPr>
          <w:noProof/>
          <w:szCs w:val="18"/>
        </w:rPr>
        <w:t> </w:t>
      </w:r>
      <w:r w:rsidR="00084F07">
        <w:rPr>
          <w:szCs w:val="18"/>
        </w:rPr>
        <w:fldChar w:fldCharType="end"/>
      </w:r>
      <w:r w:rsidR="00BF6315" w:rsidRPr="004829F6">
        <w:t>__________________________________</w:t>
      </w:r>
      <w:r w:rsidRPr="004829F6">
        <w:t>]</w:t>
      </w:r>
    </w:p>
    <w:p w14:paraId="2130CA7B" w14:textId="77777777" w:rsidR="00DB7096" w:rsidRPr="004829F6" w:rsidRDefault="00DB7096" w:rsidP="00DB7096">
      <w:pPr>
        <w:pStyle w:val="NormalHuge"/>
      </w:pPr>
      <w:r w:rsidRPr="004829F6">
        <w:t>En agissant au mieux des intérêts du Mandant, mais sans avoir à le consulter au préalable, la BANQUE donnera, pour le compte du Mandant toutes les instructions nécessaires pour exercer les droits, quels qu’ils soient, attachés aux titres en portefeuille (souscription, attribution, échange, conversion…), pour les réponses à apporter aux opérations particulières (OPA, OPE…) et pour percevoir les dividendes, intérêts et autres revenus liés aux titres en portefeuille. Toutes les opérations visées ci-dessus seront effectuées dans le cadre des réglementations et législations en vigueur sur les marchés où elles sont initiées.</w:t>
      </w:r>
    </w:p>
    <w:p w14:paraId="60E45349" w14:textId="46FA2262" w:rsidR="00577584" w:rsidRPr="004829F6" w:rsidRDefault="00DB7096" w:rsidP="00BA6B6A">
      <w:pPr>
        <w:pStyle w:val="NormalHuge"/>
      </w:pPr>
      <w:r w:rsidRPr="004829F6">
        <w:t>La BANQUE s'efforcera d'exécuter ce Mandat avec la meilleure diligence possible étant entendu que la BANQUE demeure soumise à une obligation de moyens. En effet, il est rappelé que l'objectif de gestion fixé avec le Mandant n'est pas garanti et que toute gestion de portefeuille est soumise aux aléas des fluctuations de la valeur des instruments financiers détenus, fluctuations qui sont hors du pouvoir de la BANQUE.</w:t>
      </w:r>
    </w:p>
    <w:p w14:paraId="2912A217" w14:textId="77777777" w:rsidR="00C42DDA" w:rsidRPr="004829F6" w:rsidRDefault="00C42DDA" w:rsidP="00C42DDA">
      <w:pPr>
        <w:pStyle w:val="NormalHuge"/>
      </w:pPr>
      <w:r w:rsidRPr="004829F6">
        <w:t>Les opérations interdites mentionnées ci-après :</w:t>
      </w:r>
    </w:p>
    <w:p w14:paraId="4AE1249F" w14:textId="77777777" w:rsidR="00C42DDA" w:rsidRPr="004829F6" w:rsidRDefault="00C42DDA" w:rsidP="00C42DDA">
      <w:pPr>
        <w:pStyle w:val="NormalHuge"/>
      </w:pPr>
      <w:r w:rsidRPr="004829F6">
        <w:t>- Opérations sur produits dérivés en direct et warrants</w:t>
      </w:r>
    </w:p>
    <w:p w14:paraId="00B82198" w14:textId="415BA789" w:rsidR="00AF50EA" w:rsidRPr="004829F6" w:rsidRDefault="00931CAB" w:rsidP="00BA6B6A">
      <w:pPr>
        <w:pStyle w:val="NormalHuge"/>
      </w:pPr>
      <w:r w:rsidRPr="004829F6">
        <w:t>La BANQUE communiquera en temps utile les évolutions apportées à ces informations.</w:t>
      </w:r>
    </w:p>
    <w:p w14:paraId="23C1AB27" w14:textId="57CFB090" w:rsidR="00CD54E4" w:rsidRPr="004829F6" w:rsidRDefault="00CD54E4" w:rsidP="00BA6B6A">
      <w:pPr>
        <w:pStyle w:val="NormalHuge"/>
      </w:pPr>
    </w:p>
    <w:p w14:paraId="7A81B8CC" w14:textId="77777777" w:rsidR="00CD54E4" w:rsidRPr="004829F6" w:rsidRDefault="00CD54E4" w:rsidP="00CD54E4">
      <w:pPr>
        <w:rPr>
          <w:b/>
          <w:bCs/>
          <w:sz w:val="20"/>
          <w:szCs w:val="20"/>
        </w:rPr>
      </w:pPr>
      <w:r w:rsidRPr="004829F6">
        <w:rPr>
          <w:b/>
          <w:bCs/>
          <w:sz w:val="20"/>
          <w:szCs w:val="20"/>
        </w:rPr>
        <w:t xml:space="preserve">ARTICLE 4 : </w:t>
      </w:r>
      <w:r w:rsidRPr="004829F6">
        <w:rPr>
          <w:rFonts w:cs="CenturyGothic-Bold"/>
          <w:b/>
          <w:bCs/>
          <w:sz w:val="20"/>
          <w:szCs w:val="20"/>
        </w:rPr>
        <w:t>ORIENTATION DE GESTION, LISTE DES PROFILS DE GESTION</w:t>
      </w:r>
    </w:p>
    <w:p w14:paraId="3880D97E" w14:textId="77777777" w:rsidR="003C66F7" w:rsidRPr="0004050C" w:rsidRDefault="003C66F7" w:rsidP="00CD54E4">
      <w:pPr>
        <w:rPr>
          <w:rFonts w:cs="CenturyGothic"/>
          <w:color w:val="000000"/>
          <w:szCs w:val="18"/>
        </w:rPr>
      </w:pPr>
    </w:p>
    <w:p w14:paraId="012255A5" w14:textId="27992082" w:rsidR="00CD54E4" w:rsidRPr="0004050C" w:rsidRDefault="00CD54E4" w:rsidP="00CD54E4">
      <w:pPr>
        <w:rPr>
          <w:rFonts w:cs="CenturyGothic"/>
          <w:b/>
          <w:bCs/>
          <w:color w:val="000000"/>
          <w:szCs w:val="18"/>
        </w:rPr>
      </w:pPr>
      <w:r w:rsidRPr="0004050C">
        <w:rPr>
          <w:rFonts w:cs="CenturyGothic"/>
          <w:b/>
          <w:bCs/>
          <w:color w:val="000000"/>
          <w:szCs w:val="18"/>
        </w:rPr>
        <w:t>Profil Modéré actions :</w:t>
      </w:r>
    </w:p>
    <w:p w14:paraId="1D3C5D71" w14:textId="77777777" w:rsidR="00CD54E4" w:rsidRPr="0004050C" w:rsidRDefault="00CD54E4" w:rsidP="0004050C">
      <w:pPr>
        <w:autoSpaceDE w:val="0"/>
        <w:autoSpaceDN w:val="0"/>
        <w:adjustRightInd w:val="0"/>
        <w:spacing w:after="0"/>
        <w:jc w:val="both"/>
        <w:rPr>
          <w:rFonts w:cs="CenturyGothic"/>
          <w:color w:val="000000"/>
          <w:szCs w:val="18"/>
        </w:rPr>
      </w:pPr>
      <w:r w:rsidRPr="0004050C">
        <w:rPr>
          <w:rFonts w:cs="CenturyGothic"/>
          <w:color w:val="000000"/>
          <w:szCs w:val="18"/>
        </w:rPr>
        <w:t>1) Nom du profil de gestion : Modéré actions ; mixte ou OPC</w:t>
      </w:r>
    </w:p>
    <w:p w14:paraId="7AC5A5C2" w14:textId="77777777" w:rsidR="00AC5E57" w:rsidRPr="0004050C" w:rsidRDefault="00CD54E4" w:rsidP="0004050C">
      <w:pPr>
        <w:autoSpaceDE w:val="0"/>
        <w:autoSpaceDN w:val="0"/>
        <w:adjustRightInd w:val="0"/>
        <w:spacing w:after="0"/>
        <w:jc w:val="both"/>
        <w:rPr>
          <w:rFonts w:cs="CenturyGothic"/>
          <w:color w:val="000000"/>
          <w:szCs w:val="18"/>
        </w:rPr>
      </w:pPr>
      <w:r w:rsidRPr="0004050C">
        <w:rPr>
          <w:rFonts w:cs="CenturyGothic"/>
          <w:color w:val="000000"/>
          <w:szCs w:val="18"/>
        </w:rPr>
        <w:t xml:space="preserve">2) Description de l’objectif de gestion : </w:t>
      </w:r>
    </w:p>
    <w:p w14:paraId="6CE2D6F0" w14:textId="7E1E15AC" w:rsidR="00AC5E57" w:rsidRPr="0004050C" w:rsidRDefault="00AC5E57" w:rsidP="0004050C">
      <w:pPr>
        <w:autoSpaceDE w:val="0"/>
        <w:autoSpaceDN w:val="0"/>
        <w:adjustRightInd w:val="0"/>
        <w:spacing w:after="0"/>
        <w:jc w:val="both"/>
        <w:rPr>
          <w:rFonts w:cs="CenturyGothic"/>
          <w:color w:val="000000"/>
          <w:szCs w:val="18"/>
        </w:rPr>
      </w:pPr>
      <w:r w:rsidRPr="0004050C">
        <w:rPr>
          <w:rFonts w:cs="CenturyGothic"/>
          <w:color w:val="000000"/>
          <w:szCs w:val="18"/>
        </w:rPr>
        <w:t>- Mixte : dans une optique à moyen terme (4 ans minimum conseillé), le portefeuille sera investi essentiellement en produit de taux (obligataires et monétaires). Cette orientation a pour objectif la recherche d'une valorisation modérée du portefeuille pouvant engendrer un risque moyen de perte en capital. La part actions, investie soit en titres détenus en direct, soit en OPC investis partiellement ou totalement en titres exposés au risque actions, pourra varier entre 0% et 30% du montant de l'actif.</w:t>
      </w:r>
    </w:p>
    <w:p w14:paraId="44C29D81" w14:textId="53AE5BC8" w:rsidR="00AC5E57" w:rsidRPr="0004050C" w:rsidRDefault="00AC5E57" w:rsidP="0004050C">
      <w:pPr>
        <w:autoSpaceDE w:val="0"/>
        <w:autoSpaceDN w:val="0"/>
        <w:adjustRightInd w:val="0"/>
        <w:spacing w:after="0"/>
        <w:jc w:val="both"/>
        <w:rPr>
          <w:rFonts w:cs="CenturyGothic"/>
          <w:color w:val="000000"/>
          <w:szCs w:val="18"/>
        </w:rPr>
      </w:pPr>
      <w:r w:rsidRPr="0004050C">
        <w:rPr>
          <w:rFonts w:cs="CenturyGothic"/>
          <w:color w:val="000000"/>
          <w:szCs w:val="18"/>
        </w:rPr>
        <w:t>- OPC : dans une optique à moyen terme (4 ans minimum conseillés), le portefeuille sera investi en OPC monétaires, obligataires, diversifiés ou de performance absolue. Il comportera également des OPC actions. L'ensemble des OPC pourra être investi sur les marchés français et étrangers. Cette orientation a pour objectif la recherche d'une valorisation modérée du portefeuille pouvant engendrer un risque moyen de perte en capital. La part actions pourra varier entre 0% et 30% du montant de l'actif.</w:t>
      </w:r>
    </w:p>
    <w:p w14:paraId="5E65A9DC" w14:textId="77777777" w:rsidR="00AC5E57" w:rsidRPr="0004050C" w:rsidRDefault="00AC5E57" w:rsidP="00CD54E4">
      <w:pPr>
        <w:autoSpaceDE w:val="0"/>
        <w:autoSpaceDN w:val="0"/>
        <w:adjustRightInd w:val="0"/>
        <w:spacing w:after="0"/>
        <w:rPr>
          <w:rFonts w:cs="CenturyGothic"/>
          <w:color w:val="000000"/>
          <w:szCs w:val="18"/>
        </w:rPr>
      </w:pPr>
    </w:p>
    <w:p w14:paraId="02CD687F" w14:textId="3541D799" w:rsidR="00CD54E4" w:rsidRPr="0004050C" w:rsidRDefault="00CD54E4" w:rsidP="00CD54E4">
      <w:pPr>
        <w:autoSpaceDE w:val="0"/>
        <w:autoSpaceDN w:val="0"/>
        <w:adjustRightInd w:val="0"/>
        <w:spacing w:after="0"/>
        <w:rPr>
          <w:rFonts w:cs="CenturyGothic"/>
          <w:color w:val="000000"/>
          <w:szCs w:val="18"/>
        </w:rPr>
      </w:pPr>
      <w:r w:rsidRPr="0004050C">
        <w:rPr>
          <w:rFonts w:cs="CenturyGothic"/>
          <w:color w:val="000000"/>
          <w:szCs w:val="18"/>
        </w:rPr>
        <w:t xml:space="preserve">- Horizon de placement recommandé : </w:t>
      </w:r>
      <w:r w:rsidR="009213F5" w:rsidRPr="0004050C">
        <w:rPr>
          <w:rFonts w:cs="CenturyGothic"/>
          <w:color w:val="000000"/>
          <w:szCs w:val="18"/>
        </w:rPr>
        <w:t xml:space="preserve">4 </w:t>
      </w:r>
      <w:r w:rsidRPr="0004050C">
        <w:rPr>
          <w:rFonts w:cs="CenturyGothic"/>
          <w:color w:val="000000"/>
          <w:szCs w:val="18"/>
        </w:rPr>
        <w:t>ans minimum</w:t>
      </w:r>
    </w:p>
    <w:p w14:paraId="1D2E8CC2" w14:textId="0A001F72" w:rsidR="00CD54E4" w:rsidRPr="0004050C" w:rsidRDefault="00CD54E4" w:rsidP="00CD54E4">
      <w:pPr>
        <w:autoSpaceDE w:val="0"/>
        <w:autoSpaceDN w:val="0"/>
        <w:adjustRightInd w:val="0"/>
        <w:spacing w:after="0"/>
        <w:rPr>
          <w:rFonts w:cs="CenturyGothic"/>
          <w:color w:val="000000"/>
          <w:szCs w:val="18"/>
        </w:rPr>
      </w:pPr>
      <w:r w:rsidRPr="0004050C">
        <w:rPr>
          <w:rFonts w:cs="CenturyGothic"/>
          <w:color w:val="000000"/>
          <w:szCs w:val="18"/>
        </w:rPr>
        <w:t>- Echelle rendement/risque : 4/7</w:t>
      </w:r>
    </w:p>
    <w:p w14:paraId="41C31E53" w14:textId="49AFEEEA" w:rsidR="00600F6A" w:rsidRPr="0004050C" w:rsidRDefault="00600F6A" w:rsidP="00CD54E4">
      <w:pPr>
        <w:autoSpaceDE w:val="0"/>
        <w:autoSpaceDN w:val="0"/>
        <w:adjustRightInd w:val="0"/>
        <w:spacing w:after="0"/>
        <w:rPr>
          <w:rFonts w:cs="CenturyGothic"/>
          <w:color w:val="000000"/>
          <w:szCs w:val="18"/>
        </w:rPr>
      </w:pPr>
    </w:p>
    <w:tbl>
      <w:tblPr>
        <w:tblStyle w:val="Grilledutableau"/>
        <w:tblW w:w="0" w:type="auto"/>
        <w:tblLook w:val="04A0" w:firstRow="1" w:lastRow="0" w:firstColumn="1" w:lastColumn="0" w:noHBand="0" w:noVBand="1"/>
      </w:tblPr>
      <w:tblGrid>
        <w:gridCol w:w="988"/>
        <w:gridCol w:w="708"/>
        <w:gridCol w:w="709"/>
        <w:gridCol w:w="707"/>
        <w:gridCol w:w="705"/>
        <w:gridCol w:w="856"/>
        <w:gridCol w:w="851"/>
      </w:tblGrid>
      <w:tr w:rsidR="00600F6A" w:rsidRPr="004829F6" w14:paraId="11D94727" w14:textId="77777777" w:rsidTr="00C42DDA">
        <w:tc>
          <w:tcPr>
            <w:tcW w:w="988" w:type="dxa"/>
          </w:tcPr>
          <w:p w14:paraId="4EAA41F4" w14:textId="45088ED3" w:rsidR="00600F6A" w:rsidRPr="0004050C" w:rsidRDefault="00600F6A" w:rsidP="00600F6A">
            <w:pPr>
              <w:autoSpaceDE w:val="0"/>
              <w:autoSpaceDN w:val="0"/>
              <w:adjustRightInd w:val="0"/>
              <w:spacing w:after="0"/>
              <w:jc w:val="center"/>
              <w:rPr>
                <w:rFonts w:cs="CenturyGothic"/>
                <w:color w:val="000000"/>
                <w:sz w:val="20"/>
                <w:szCs w:val="20"/>
              </w:rPr>
            </w:pPr>
            <w:r w:rsidRPr="0004050C">
              <w:rPr>
                <w:rFonts w:cs="CenturyGothic"/>
                <w:color w:val="000000"/>
                <w:sz w:val="20"/>
                <w:szCs w:val="20"/>
              </w:rPr>
              <w:t>1</w:t>
            </w:r>
          </w:p>
        </w:tc>
        <w:tc>
          <w:tcPr>
            <w:tcW w:w="708" w:type="dxa"/>
          </w:tcPr>
          <w:p w14:paraId="74B11F74" w14:textId="529F8A67" w:rsidR="00600F6A" w:rsidRPr="0004050C" w:rsidRDefault="00600F6A" w:rsidP="00600F6A">
            <w:pPr>
              <w:autoSpaceDE w:val="0"/>
              <w:autoSpaceDN w:val="0"/>
              <w:adjustRightInd w:val="0"/>
              <w:spacing w:after="0"/>
              <w:jc w:val="center"/>
              <w:rPr>
                <w:rFonts w:cs="CenturyGothic"/>
                <w:color w:val="000000"/>
                <w:sz w:val="20"/>
                <w:szCs w:val="20"/>
              </w:rPr>
            </w:pPr>
            <w:r w:rsidRPr="0004050C">
              <w:rPr>
                <w:rFonts w:cs="CenturyGothic"/>
                <w:color w:val="000000"/>
                <w:sz w:val="20"/>
                <w:szCs w:val="20"/>
              </w:rPr>
              <w:t>2</w:t>
            </w:r>
          </w:p>
        </w:tc>
        <w:tc>
          <w:tcPr>
            <w:tcW w:w="709" w:type="dxa"/>
          </w:tcPr>
          <w:p w14:paraId="4A10A1F9" w14:textId="4CF0C567" w:rsidR="00600F6A" w:rsidRPr="0004050C" w:rsidRDefault="00600F6A" w:rsidP="00600F6A">
            <w:pPr>
              <w:autoSpaceDE w:val="0"/>
              <w:autoSpaceDN w:val="0"/>
              <w:adjustRightInd w:val="0"/>
              <w:spacing w:after="0"/>
              <w:jc w:val="center"/>
              <w:rPr>
                <w:rFonts w:cs="CenturyGothic"/>
                <w:color w:val="000000"/>
                <w:sz w:val="20"/>
                <w:szCs w:val="20"/>
              </w:rPr>
            </w:pPr>
            <w:r w:rsidRPr="0004050C">
              <w:rPr>
                <w:rFonts w:cs="CenturyGothic"/>
                <w:color w:val="000000"/>
                <w:sz w:val="20"/>
                <w:szCs w:val="20"/>
              </w:rPr>
              <w:t>3</w:t>
            </w:r>
          </w:p>
        </w:tc>
        <w:tc>
          <w:tcPr>
            <w:tcW w:w="707" w:type="dxa"/>
            <w:shd w:val="clear" w:color="auto" w:fill="00B0F0"/>
          </w:tcPr>
          <w:p w14:paraId="7B22989B" w14:textId="37E4441E" w:rsidR="00600F6A" w:rsidRPr="0004050C" w:rsidRDefault="00600F6A" w:rsidP="00600F6A">
            <w:pPr>
              <w:autoSpaceDE w:val="0"/>
              <w:autoSpaceDN w:val="0"/>
              <w:adjustRightInd w:val="0"/>
              <w:spacing w:after="0"/>
              <w:jc w:val="center"/>
              <w:rPr>
                <w:rFonts w:cs="CenturyGothic"/>
                <w:color w:val="000000"/>
                <w:sz w:val="20"/>
                <w:szCs w:val="20"/>
              </w:rPr>
            </w:pPr>
            <w:r w:rsidRPr="0004050C">
              <w:rPr>
                <w:rFonts w:cs="CenturyGothic"/>
                <w:color w:val="000000"/>
                <w:sz w:val="20"/>
                <w:szCs w:val="20"/>
              </w:rPr>
              <w:t>4</w:t>
            </w:r>
          </w:p>
        </w:tc>
        <w:tc>
          <w:tcPr>
            <w:tcW w:w="705" w:type="dxa"/>
          </w:tcPr>
          <w:p w14:paraId="794579A0" w14:textId="2308BD36" w:rsidR="00600F6A" w:rsidRPr="0004050C" w:rsidRDefault="00600F6A" w:rsidP="00600F6A">
            <w:pPr>
              <w:autoSpaceDE w:val="0"/>
              <w:autoSpaceDN w:val="0"/>
              <w:adjustRightInd w:val="0"/>
              <w:spacing w:after="0"/>
              <w:jc w:val="center"/>
              <w:rPr>
                <w:rFonts w:cs="CenturyGothic"/>
                <w:color w:val="000000"/>
                <w:sz w:val="20"/>
                <w:szCs w:val="20"/>
              </w:rPr>
            </w:pPr>
            <w:r w:rsidRPr="0004050C">
              <w:rPr>
                <w:rFonts w:cs="CenturyGothic"/>
                <w:color w:val="000000"/>
                <w:sz w:val="20"/>
                <w:szCs w:val="20"/>
              </w:rPr>
              <w:t>5</w:t>
            </w:r>
          </w:p>
        </w:tc>
        <w:tc>
          <w:tcPr>
            <w:tcW w:w="856" w:type="dxa"/>
          </w:tcPr>
          <w:p w14:paraId="7957F11F" w14:textId="64A4F9A7" w:rsidR="00600F6A" w:rsidRPr="0004050C" w:rsidRDefault="00600F6A" w:rsidP="00600F6A">
            <w:pPr>
              <w:autoSpaceDE w:val="0"/>
              <w:autoSpaceDN w:val="0"/>
              <w:adjustRightInd w:val="0"/>
              <w:spacing w:after="0"/>
              <w:jc w:val="center"/>
              <w:rPr>
                <w:rFonts w:cs="CenturyGothic"/>
                <w:color w:val="000000"/>
                <w:sz w:val="20"/>
                <w:szCs w:val="20"/>
              </w:rPr>
            </w:pPr>
            <w:r w:rsidRPr="0004050C">
              <w:rPr>
                <w:rFonts w:cs="CenturyGothic"/>
                <w:color w:val="000000"/>
                <w:sz w:val="20"/>
                <w:szCs w:val="20"/>
              </w:rPr>
              <w:t>6</w:t>
            </w:r>
          </w:p>
        </w:tc>
        <w:tc>
          <w:tcPr>
            <w:tcW w:w="851" w:type="dxa"/>
          </w:tcPr>
          <w:p w14:paraId="3DCA3829" w14:textId="666DBBA4" w:rsidR="00600F6A" w:rsidRPr="0004050C" w:rsidRDefault="00600F6A" w:rsidP="00600F6A">
            <w:pPr>
              <w:autoSpaceDE w:val="0"/>
              <w:autoSpaceDN w:val="0"/>
              <w:adjustRightInd w:val="0"/>
              <w:spacing w:after="0"/>
              <w:jc w:val="center"/>
              <w:rPr>
                <w:rFonts w:cs="CenturyGothic"/>
                <w:color w:val="000000"/>
                <w:sz w:val="20"/>
                <w:szCs w:val="20"/>
              </w:rPr>
            </w:pPr>
            <w:r w:rsidRPr="0004050C">
              <w:rPr>
                <w:rFonts w:cs="CenturyGothic"/>
                <w:color w:val="000000"/>
                <w:sz w:val="20"/>
                <w:szCs w:val="20"/>
              </w:rPr>
              <w:t>7</w:t>
            </w:r>
          </w:p>
        </w:tc>
      </w:tr>
    </w:tbl>
    <w:p w14:paraId="7D6D541B" w14:textId="1C04713F" w:rsidR="00600F6A" w:rsidRPr="0004050C" w:rsidRDefault="00600F6A" w:rsidP="00CD54E4">
      <w:pPr>
        <w:autoSpaceDE w:val="0"/>
        <w:autoSpaceDN w:val="0"/>
        <w:adjustRightInd w:val="0"/>
        <w:spacing w:after="0"/>
        <w:rPr>
          <w:rFonts w:cs="CenturyGothic"/>
          <w:color w:val="000000"/>
          <w:sz w:val="20"/>
          <w:szCs w:val="20"/>
        </w:rPr>
      </w:pPr>
    </w:p>
    <w:p w14:paraId="717935B5" w14:textId="44153135" w:rsidR="00600F6A" w:rsidRPr="0004050C" w:rsidRDefault="00600F6A" w:rsidP="00CD54E4">
      <w:pPr>
        <w:autoSpaceDE w:val="0"/>
        <w:autoSpaceDN w:val="0"/>
        <w:adjustRightInd w:val="0"/>
        <w:spacing w:after="0"/>
        <w:rPr>
          <w:rFonts w:cs="CenturyGothic"/>
          <w:color w:val="000000"/>
          <w:szCs w:val="18"/>
        </w:rPr>
      </w:pPr>
      <w:r w:rsidRPr="0004050C">
        <w:rPr>
          <w:rFonts w:cs="CenturyGothic"/>
          <w:color w:val="000000"/>
          <w:szCs w:val="18"/>
        </w:rPr>
        <w:t>Risque plus faible</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risque plus élevé</w:t>
      </w:r>
    </w:p>
    <w:p w14:paraId="19029E92" w14:textId="707B4B6C" w:rsidR="00600F6A" w:rsidRPr="0004050C" w:rsidRDefault="00600F6A" w:rsidP="00CD54E4">
      <w:pPr>
        <w:autoSpaceDE w:val="0"/>
        <w:autoSpaceDN w:val="0"/>
        <w:adjustRightInd w:val="0"/>
        <w:spacing w:after="0"/>
        <w:rPr>
          <w:rFonts w:cs="CenturyGothic"/>
          <w:color w:val="000000"/>
          <w:szCs w:val="18"/>
        </w:rPr>
      </w:pPr>
      <w:r w:rsidRPr="0004050C">
        <w:rPr>
          <w:rFonts w:cs="CenturyGothic"/>
          <w:color w:val="000000"/>
          <w:szCs w:val="18"/>
        </w:rPr>
        <w:t>Rendement potentiel</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rendement potentiel</w:t>
      </w:r>
    </w:p>
    <w:p w14:paraId="34C2EF6E" w14:textId="2CDC48CE" w:rsidR="00600F6A" w:rsidRPr="0004050C" w:rsidRDefault="00600F6A" w:rsidP="00CD54E4">
      <w:pPr>
        <w:autoSpaceDE w:val="0"/>
        <w:autoSpaceDN w:val="0"/>
        <w:adjustRightInd w:val="0"/>
        <w:spacing w:after="0"/>
        <w:rPr>
          <w:rFonts w:cs="CenturyGothic"/>
          <w:color w:val="000000"/>
          <w:szCs w:val="18"/>
        </w:rPr>
      </w:pPr>
      <w:r w:rsidRPr="0004050C">
        <w:rPr>
          <w:rFonts w:cs="CenturyGothic"/>
          <w:color w:val="000000"/>
          <w:szCs w:val="18"/>
        </w:rPr>
        <w:t>Plus faible</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plus élevé</w:t>
      </w:r>
    </w:p>
    <w:p w14:paraId="6A3FDF8F" w14:textId="2CE8C858" w:rsidR="00600F6A" w:rsidRPr="0004050C" w:rsidRDefault="00600F6A" w:rsidP="00CD54E4">
      <w:pPr>
        <w:autoSpaceDE w:val="0"/>
        <w:autoSpaceDN w:val="0"/>
        <w:adjustRightInd w:val="0"/>
        <w:spacing w:after="0"/>
        <w:rPr>
          <w:rFonts w:cs="CenturyGothic"/>
          <w:color w:val="000000"/>
          <w:sz w:val="20"/>
          <w:szCs w:val="20"/>
        </w:rPr>
      </w:pPr>
    </w:p>
    <w:p w14:paraId="795A98EE" w14:textId="25281D52" w:rsidR="004829F6" w:rsidRDefault="004829F6">
      <w:pPr>
        <w:spacing w:after="0"/>
        <w:rPr>
          <w:rFonts w:cs="CenturyGothic"/>
          <w:color w:val="000000"/>
          <w:sz w:val="20"/>
          <w:szCs w:val="20"/>
        </w:rPr>
      </w:pPr>
      <w:r>
        <w:rPr>
          <w:rFonts w:cs="CenturyGothic"/>
          <w:color w:val="000000"/>
          <w:sz w:val="20"/>
          <w:szCs w:val="20"/>
        </w:rPr>
        <w:br w:type="page"/>
      </w:r>
    </w:p>
    <w:p w14:paraId="0EF9A7E9" w14:textId="77777777" w:rsidR="00483B5F" w:rsidRPr="0004050C" w:rsidRDefault="00483B5F" w:rsidP="00CD54E4">
      <w:pPr>
        <w:autoSpaceDE w:val="0"/>
        <w:autoSpaceDN w:val="0"/>
        <w:adjustRightInd w:val="0"/>
        <w:spacing w:after="0"/>
        <w:rPr>
          <w:rFonts w:cs="CenturyGothic"/>
          <w:color w:val="000000"/>
          <w:sz w:val="20"/>
          <w:szCs w:val="20"/>
        </w:rPr>
      </w:pPr>
    </w:p>
    <w:p w14:paraId="673659CE" w14:textId="77777777" w:rsidR="00CD54E4" w:rsidRPr="0004050C" w:rsidRDefault="00CD54E4" w:rsidP="00CD54E4">
      <w:pPr>
        <w:rPr>
          <w:rFonts w:cs="CenturyGothic"/>
          <w:b/>
          <w:bCs/>
          <w:color w:val="000000"/>
          <w:sz w:val="20"/>
          <w:szCs w:val="20"/>
        </w:rPr>
      </w:pPr>
      <w:r w:rsidRPr="0004050C">
        <w:rPr>
          <w:rFonts w:cs="CenturyGothic"/>
          <w:b/>
          <w:bCs/>
          <w:color w:val="000000"/>
          <w:sz w:val="20"/>
          <w:szCs w:val="20"/>
        </w:rPr>
        <w:t>Profil Equilibre :</w:t>
      </w:r>
    </w:p>
    <w:p w14:paraId="2B2026B4" w14:textId="77777777" w:rsidR="00CD54E4" w:rsidRPr="0004050C" w:rsidRDefault="00CD54E4" w:rsidP="0004050C">
      <w:pPr>
        <w:autoSpaceDE w:val="0"/>
        <w:autoSpaceDN w:val="0"/>
        <w:adjustRightInd w:val="0"/>
        <w:spacing w:after="0"/>
        <w:jc w:val="both"/>
        <w:rPr>
          <w:rFonts w:cs="CenturyGothic"/>
          <w:color w:val="000000"/>
          <w:szCs w:val="18"/>
        </w:rPr>
      </w:pPr>
      <w:r w:rsidRPr="0004050C">
        <w:rPr>
          <w:rFonts w:cs="CenturyGothic"/>
          <w:color w:val="000000"/>
          <w:szCs w:val="18"/>
        </w:rPr>
        <w:t>1) Nom du profil de gestion : équilibre ; mixte ou OPC</w:t>
      </w:r>
    </w:p>
    <w:p w14:paraId="34210824" w14:textId="77777777" w:rsidR="00AC5E57" w:rsidRPr="0004050C" w:rsidRDefault="00CD54E4" w:rsidP="0004050C">
      <w:pPr>
        <w:autoSpaceDE w:val="0"/>
        <w:autoSpaceDN w:val="0"/>
        <w:adjustRightInd w:val="0"/>
        <w:spacing w:after="0"/>
        <w:jc w:val="both"/>
        <w:rPr>
          <w:rFonts w:cs="CenturyGothic"/>
          <w:color w:val="000000"/>
          <w:szCs w:val="18"/>
        </w:rPr>
      </w:pPr>
      <w:r w:rsidRPr="0004050C">
        <w:rPr>
          <w:rFonts w:cs="CenturyGothic"/>
          <w:color w:val="000000"/>
          <w:szCs w:val="18"/>
        </w:rPr>
        <w:t xml:space="preserve">2) Description de l’objectif de gestion : </w:t>
      </w:r>
    </w:p>
    <w:p w14:paraId="5B8CA632" w14:textId="27F0E938" w:rsidR="00AC5E57" w:rsidRPr="0004050C" w:rsidRDefault="00AC5E57" w:rsidP="0004050C">
      <w:pPr>
        <w:autoSpaceDE w:val="0"/>
        <w:autoSpaceDN w:val="0"/>
        <w:adjustRightInd w:val="0"/>
        <w:spacing w:after="0"/>
        <w:jc w:val="both"/>
        <w:rPr>
          <w:rFonts w:cs="GillSansMT"/>
          <w:szCs w:val="18"/>
          <w:lang w:eastAsia="fr-FR"/>
        </w:rPr>
      </w:pPr>
      <w:r w:rsidRPr="0004050C">
        <w:rPr>
          <w:rFonts w:cs="CenturyGothic"/>
          <w:color w:val="000000"/>
          <w:szCs w:val="18"/>
        </w:rPr>
        <w:t>- Mixte : d</w:t>
      </w:r>
      <w:r w:rsidRPr="0004050C">
        <w:rPr>
          <w:rFonts w:cs="GillSansMT"/>
          <w:szCs w:val="18"/>
          <w:lang w:eastAsia="fr-FR"/>
        </w:rPr>
        <w:t>ans une optique à moyen terme (5 ans minimum conseillés), le portefeuille sera investi en supports monétaires, obligataires et actions détenus en direct ou via des OPC. La part actions pourra être investi sur les marchés français et étrangers. Il pourra également être investi en OPC diversifiés adoptant ou non une stratégie de performance absolue ou alternative. Cette orientation a pour objectif la recherche d'une valorisation moyenne du portefeuille pouvant engendrer un risque de perte en capital moyen. La part actions pourra varier entre 30% et 60% du montant de l'actif.</w:t>
      </w:r>
    </w:p>
    <w:p w14:paraId="525AF664" w14:textId="156F5B8E" w:rsidR="00AC5E57" w:rsidRPr="0004050C" w:rsidRDefault="00AC5E57" w:rsidP="0004050C">
      <w:pPr>
        <w:autoSpaceDE w:val="0"/>
        <w:autoSpaceDN w:val="0"/>
        <w:adjustRightInd w:val="0"/>
        <w:spacing w:after="0"/>
        <w:jc w:val="both"/>
        <w:rPr>
          <w:rFonts w:cs="CenturyGothic"/>
          <w:color w:val="000000"/>
          <w:szCs w:val="18"/>
        </w:rPr>
      </w:pPr>
      <w:r w:rsidRPr="0004050C">
        <w:rPr>
          <w:rFonts w:cs="GillSansMT"/>
          <w:szCs w:val="18"/>
          <w:lang w:eastAsia="fr-FR"/>
        </w:rPr>
        <w:t>- OPC : dans une optique à long terme (5 ans minimum conseillés), le portefeuille sera investi en OPC monétaires, obligataires, diversifiés ou de performance absolue. Il comportera également des OPC en actions. L'ensemble des OPC pourra être investi sur les marchés français et étrangers. Cette orientation a pour objectif la recherche d'une valorisation moyenne du portefeuille pouvant engendrer un risque de perte en capital moyen. La part actions pourra varier entre 30% et 60% du montant de l'actif.</w:t>
      </w:r>
    </w:p>
    <w:p w14:paraId="641FC1F3" w14:textId="77777777" w:rsidR="00AC5E57" w:rsidRPr="0004050C" w:rsidRDefault="00AC5E57" w:rsidP="0004050C">
      <w:pPr>
        <w:autoSpaceDE w:val="0"/>
        <w:autoSpaceDN w:val="0"/>
        <w:adjustRightInd w:val="0"/>
        <w:spacing w:after="0"/>
        <w:jc w:val="both"/>
        <w:rPr>
          <w:rFonts w:cs="CenturyGothic"/>
          <w:color w:val="000000"/>
          <w:szCs w:val="18"/>
        </w:rPr>
      </w:pPr>
    </w:p>
    <w:p w14:paraId="0B798C54" w14:textId="73EA45A3" w:rsidR="00CD54E4" w:rsidRPr="0004050C" w:rsidRDefault="00CD54E4" w:rsidP="0004050C">
      <w:pPr>
        <w:autoSpaceDE w:val="0"/>
        <w:autoSpaceDN w:val="0"/>
        <w:adjustRightInd w:val="0"/>
        <w:spacing w:after="0"/>
        <w:jc w:val="both"/>
        <w:rPr>
          <w:rFonts w:cs="CenturyGothic"/>
          <w:color w:val="000000"/>
          <w:szCs w:val="18"/>
        </w:rPr>
      </w:pPr>
    </w:p>
    <w:p w14:paraId="51092A30" w14:textId="77777777" w:rsidR="00CD54E4" w:rsidRPr="0004050C" w:rsidRDefault="00CD54E4" w:rsidP="0004050C">
      <w:pPr>
        <w:autoSpaceDE w:val="0"/>
        <w:autoSpaceDN w:val="0"/>
        <w:adjustRightInd w:val="0"/>
        <w:spacing w:after="0"/>
        <w:jc w:val="both"/>
        <w:rPr>
          <w:rFonts w:cs="CenturyGothic"/>
          <w:color w:val="000000"/>
          <w:szCs w:val="18"/>
        </w:rPr>
      </w:pPr>
      <w:r w:rsidRPr="0004050C">
        <w:rPr>
          <w:rFonts w:cs="CenturyGothic"/>
          <w:color w:val="000000"/>
          <w:szCs w:val="18"/>
        </w:rPr>
        <w:t>- Horizon de placement recommandé : 5 ans minimum</w:t>
      </w:r>
    </w:p>
    <w:p w14:paraId="67A44BB3" w14:textId="77777777" w:rsidR="00CD54E4" w:rsidRPr="0004050C" w:rsidRDefault="00CD54E4" w:rsidP="00CD54E4">
      <w:pPr>
        <w:autoSpaceDE w:val="0"/>
        <w:autoSpaceDN w:val="0"/>
        <w:adjustRightInd w:val="0"/>
        <w:spacing w:after="0"/>
        <w:rPr>
          <w:rFonts w:cs="CenturyGothic"/>
          <w:color w:val="000000"/>
          <w:szCs w:val="18"/>
        </w:rPr>
      </w:pPr>
      <w:r w:rsidRPr="0004050C">
        <w:rPr>
          <w:rFonts w:cs="CenturyGothic"/>
          <w:color w:val="000000"/>
          <w:szCs w:val="18"/>
        </w:rPr>
        <w:t>- Echelle rendement/risque : 4/7</w:t>
      </w:r>
    </w:p>
    <w:p w14:paraId="24F9112F" w14:textId="4915D13E" w:rsidR="00CD54E4" w:rsidRPr="0004050C" w:rsidRDefault="00CD54E4" w:rsidP="00CD54E4">
      <w:pPr>
        <w:rPr>
          <w:rFonts w:cs="CenturyGothic"/>
          <w:color w:val="000000"/>
          <w:szCs w:val="18"/>
        </w:rPr>
      </w:pPr>
    </w:p>
    <w:tbl>
      <w:tblPr>
        <w:tblStyle w:val="Grilledutableau"/>
        <w:tblW w:w="0" w:type="auto"/>
        <w:tblLook w:val="04A0" w:firstRow="1" w:lastRow="0" w:firstColumn="1" w:lastColumn="0" w:noHBand="0" w:noVBand="1"/>
      </w:tblPr>
      <w:tblGrid>
        <w:gridCol w:w="988"/>
        <w:gridCol w:w="708"/>
        <w:gridCol w:w="709"/>
        <w:gridCol w:w="707"/>
        <w:gridCol w:w="705"/>
        <w:gridCol w:w="856"/>
        <w:gridCol w:w="851"/>
      </w:tblGrid>
      <w:tr w:rsidR="00483B5F" w:rsidRPr="004829F6" w14:paraId="4B4D6B2C" w14:textId="77777777" w:rsidTr="00C42DDA">
        <w:tc>
          <w:tcPr>
            <w:tcW w:w="988" w:type="dxa"/>
          </w:tcPr>
          <w:p w14:paraId="38513009"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1</w:t>
            </w:r>
          </w:p>
        </w:tc>
        <w:tc>
          <w:tcPr>
            <w:tcW w:w="708" w:type="dxa"/>
          </w:tcPr>
          <w:p w14:paraId="1DAC995F"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2</w:t>
            </w:r>
          </w:p>
        </w:tc>
        <w:tc>
          <w:tcPr>
            <w:tcW w:w="709" w:type="dxa"/>
          </w:tcPr>
          <w:p w14:paraId="01848BA9"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3</w:t>
            </w:r>
          </w:p>
        </w:tc>
        <w:tc>
          <w:tcPr>
            <w:tcW w:w="707" w:type="dxa"/>
            <w:shd w:val="clear" w:color="auto" w:fill="00B0F0"/>
          </w:tcPr>
          <w:p w14:paraId="54EE8412"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4</w:t>
            </w:r>
          </w:p>
        </w:tc>
        <w:tc>
          <w:tcPr>
            <w:tcW w:w="705" w:type="dxa"/>
          </w:tcPr>
          <w:p w14:paraId="5D4D90C9"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5</w:t>
            </w:r>
          </w:p>
        </w:tc>
        <w:tc>
          <w:tcPr>
            <w:tcW w:w="856" w:type="dxa"/>
          </w:tcPr>
          <w:p w14:paraId="03B86A0E"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6</w:t>
            </w:r>
          </w:p>
        </w:tc>
        <w:tc>
          <w:tcPr>
            <w:tcW w:w="851" w:type="dxa"/>
          </w:tcPr>
          <w:p w14:paraId="54C9584D"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7</w:t>
            </w:r>
          </w:p>
        </w:tc>
      </w:tr>
    </w:tbl>
    <w:p w14:paraId="741551B8" w14:textId="77777777" w:rsidR="00483B5F" w:rsidRPr="0004050C" w:rsidRDefault="00483B5F" w:rsidP="00483B5F">
      <w:pPr>
        <w:autoSpaceDE w:val="0"/>
        <w:autoSpaceDN w:val="0"/>
        <w:adjustRightInd w:val="0"/>
        <w:spacing w:after="0"/>
        <w:rPr>
          <w:rFonts w:cs="CenturyGothic"/>
          <w:color w:val="000000"/>
          <w:szCs w:val="18"/>
        </w:rPr>
      </w:pPr>
    </w:p>
    <w:p w14:paraId="70ECFEC5" w14:textId="77777777" w:rsidR="00483B5F" w:rsidRPr="0004050C" w:rsidRDefault="00483B5F" w:rsidP="00483B5F">
      <w:pPr>
        <w:autoSpaceDE w:val="0"/>
        <w:autoSpaceDN w:val="0"/>
        <w:adjustRightInd w:val="0"/>
        <w:spacing w:after="0"/>
        <w:rPr>
          <w:rFonts w:cs="CenturyGothic"/>
          <w:color w:val="000000"/>
          <w:szCs w:val="18"/>
        </w:rPr>
      </w:pPr>
      <w:r w:rsidRPr="0004050C">
        <w:rPr>
          <w:rFonts w:cs="CenturyGothic"/>
          <w:color w:val="000000"/>
          <w:szCs w:val="18"/>
        </w:rPr>
        <w:t>Risque plus faible</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risque plus élevé</w:t>
      </w:r>
    </w:p>
    <w:p w14:paraId="4EF6C061" w14:textId="77777777" w:rsidR="00483B5F" w:rsidRPr="0004050C" w:rsidRDefault="00483B5F" w:rsidP="00483B5F">
      <w:pPr>
        <w:autoSpaceDE w:val="0"/>
        <w:autoSpaceDN w:val="0"/>
        <w:adjustRightInd w:val="0"/>
        <w:spacing w:after="0"/>
        <w:rPr>
          <w:rFonts w:cs="CenturyGothic"/>
          <w:color w:val="000000"/>
          <w:szCs w:val="18"/>
        </w:rPr>
      </w:pPr>
      <w:r w:rsidRPr="0004050C">
        <w:rPr>
          <w:rFonts w:cs="CenturyGothic"/>
          <w:color w:val="000000"/>
          <w:szCs w:val="18"/>
        </w:rPr>
        <w:t>Rendement potentiel</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rendement potentiel</w:t>
      </w:r>
    </w:p>
    <w:p w14:paraId="6B3F29F8" w14:textId="77777777" w:rsidR="00483B5F" w:rsidRPr="0004050C" w:rsidRDefault="00483B5F" w:rsidP="00483B5F">
      <w:pPr>
        <w:autoSpaceDE w:val="0"/>
        <w:autoSpaceDN w:val="0"/>
        <w:adjustRightInd w:val="0"/>
        <w:spacing w:after="0"/>
        <w:rPr>
          <w:rFonts w:cs="CenturyGothic"/>
          <w:color w:val="000000"/>
          <w:szCs w:val="18"/>
        </w:rPr>
      </w:pPr>
      <w:r w:rsidRPr="0004050C">
        <w:rPr>
          <w:rFonts w:cs="CenturyGothic"/>
          <w:color w:val="000000"/>
          <w:szCs w:val="18"/>
        </w:rPr>
        <w:t>Plus faible</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plus élevé</w:t>
      </w:r>
    </w:p>
    <w:p w14:paraId="65091029" w14:textId="204FF04F" w:rsidR="00483B5F" w:rsidRDefault="00483B5F" w:rsidP="00CD54E4">
      <w:pPr>
        <w:rPr>
          <w:rFonts w:cs="CenturyGothic"/>
          <w:color w:val="000000"/>
          <w:szCs w:val="18"/>
        </w:rPr>
      </w:pPr>
    </w:p>
    <w:p w14:paraId="35C2BCF3" w14:textId="46FA5B56" w:rsidR="004829F6" w:rsidRDefault="004829F6" w:rsidP="00CD54E4">
      <w:pPr>
        <w:rPr>
          <w:rFonts w:cs="CenturyGothic"/>
          <w:color w:val="000000"/>
          <w:szCs w:val="18"/>
        </w:rPr>
      </w:pPr>
    </w:p>
    <w:p w14:paraId="0D8EDE84" w14:textId="04F5160B" w:rsidR="004829F6" w:rsidRDefault="004829F6" w:rsidP="00CD54E4">
      <w:pPr>
        <w:rPr>
          <w:rFonts w:cs="CenturyGothic"/>
          <w:color w:val="000000"/>
          <w:szCs w:val="18"/>
        </w:rPr>
      </w:pPr>
    </w:p>
    <w:p w14:paraId="495B5E84" w14:textId="77777777" w:rsidR="004829F6" w:rsidRPr="0004050C" w:rsidRDefault="004829F6" w:rsidP="00CD54E4">
      <w:pPr>
        <w:rPr>
          <w:rFonts w:cs="CenturyGothic"/>
          <w:color w:val="000000"/>
          <w:szCs w:val="18"/>
        </w:rPr>
      </w:pPr>
    </w:p>
    <w:p w14:paraId="2BBC8B31" w14:textId="77777777" w:rsidR="00483B5F" w:rsidRPr="0004050C" w:rsidRDefault="00483B5F" w:rsidP="00CD54E4">
      <w:pPr>
        <w:rPr>
          <w:rFonts w:cs="CenturyGothic"/>
          <w:color w:val="000000"/>
          <w:szCs w:val="18"/>
        </w:rPr>
      </w:pPr>
    </w:p>
    <w:p w14:paraId="0214F4EC" w14:textId="77777777" w:rsidR="00CD54E4" w:rsidRPr="0004050C" w:rsidRDefault="00CD54E4" w:rsidP="00CD54E4">
      <w:pPr>
        <w:rPr>
          <w:rFonts w:cs="CenturyGothic"/>
          <w:b/>
          <w:bCs/>
          <w:color w:val="000000"/>
          <w:szCs w:val="18"/>
        </w:rPr>
      </w:pPr>
      <w:r w:rsidRPr="0004050C">
        <w:rPr>
          <w:rFonts w:cs="CenturyGothic"/>
          <w:b/>
          <w:bCs/>
          <w:color w:val="000000"/>
          <w:szCs w:val="18"/>
        </w:rPr>
        <w:t>Profil Vitalité :</w:t>
      </w:r>
    </w:p>
    <w:p w14:paraId="7904A1BA" w14:textId="77777777" w:rsidR="00CD54E4" w:rsidRPr="0004050C" w:rsidRDefault="00CD54E4" w:rsidP="0004050C">
      <w:pPr>
        <w:autoSpaceDE w:val="0"/>
        <w:autoSpaceDN w:val="0"/>
        <w:adjustRightInd w:val="0"/>
        <w:spacing w:after="0"/>
        <w:jc w:val="both"/>
        <w:rPr>
          <w:rFonts w:cs="CenturyGothic"/>
          <w:color w:val="000000"/>
          <w:szCs w:val="18"/>
        </w:rPr>
      </w:pPr>
      <w:r w:rsidRPr="0004050C">
        <w:rPr>
          <w:rFonts w:cs="CenturyGothic"/>
          <w:color w:val="000000"/>
          <w:szCs w:val="18"/>
        </w:rPr>
        <w:t>1) Nom du profil de gestion : vitalité ; mixte ou OPC</w:t>
      </w:r>
    </w:p>
    <w:p w14:paraId="093B08C8" w14:textId="77777777" w:rsidR="00DF7BED" w:rsidRPr="0004050C" w:rsidRDefault="00CD54E4" w:rsidP="0004050C">
      <w:pPr>
        <w:autoSpaceDE w:val="0"/>
        <w:autoSpaceDN w:val="0"/>
        <w:adjustRightInd w:val="0"/>
        <w:spacing w:after="0"/>
        <w:jc w:val="both"/>
        <w:rPr>
          <w:rFonts w:cs="CenturyGothic"/>
          <w:color w:val="000000"/>
          <w:szCs w:val="18"/>
        </w:rPr>
      </w:pPr>
      <w:r w:rsidRPr="0004050C">
        <w:rPr>
          <w:rFonts w:cs="CenturyGothic"/>
          <w:color w:val="000000"/>
          <w:szCs w:val="18"/>
        </w:rPr>
        <w:t xml:space="preserve">2) Description de l’objectif de gestion : </w:t>
      </w:r>
    </w:p>
    <w:p w14:paraId="5B02B9FD" w14:textId="3FE795DF" w:rsidR="00DF7BED" w:rsidRPr="0004050C" w:rsidRDefault="00DF7BED" w:rsidP="0004050C">
      <w:pPr>
        <w:autoSpaceDE w:val="0"/>
        <w:autoSpaceDN w:val="0"/>
        <w:adjustRightInd w:val="0"/>
        <w:spacing w:after="0"/>
        <w:jc w:val="both"/>
        <w:rPr>
          <w:rFonts w:cs="CenturyGothic"/>
          <w:color w:val="000000"/>
          <w:szCs w:val="18"/>
        </w:rPr>
      </w:pPr>
      <w:r w:rsidRPr="0004050C">
        <w:rPr>
          <w:rFonts w:cs="CenturyGothic"/>
          <w:color w:val="000000"/>
          <w:szCs w:val="18"/>
        </w:rPr>
        <w:t>- Mixte : dans une optique à moyen/terme (7 ans minimum conseillés), le portefeuille sera majoritairement investi en actions françaises et étrangères. Ce profil a pour objectif la recherche d'une valorisation importante du portefeuille mais elle implique un risque de perte en capital entre moyen et élevé. La part actions pourra varier entre 60% et 80% du montant de l'actif.</w:t>
      </w:r>
    </w:p>
    <w:p w14:paraId="6809DE41" w14:textId="15151783" w:rsidR="00DF7BED" w:rsidRPr="0004050C" w:rsidRDefault="00DF7BED" w:rsidP="0004050C">
      <w:pPr>
        <w:autoSpaceDE w:val="0"/>
        <w:autoSpaceDN w:val="0"/>
        <w:adjustRightInd w:val="0"/>
        <w:spacing w:after="0"/>
        <w:jc w:val="both"/>
        <w:rPr>
          <w:rFonts w:cs="CenturyGothic"/>
          <w:color w:val="000000"/>
          <w:szCs w:val="18"/>
        </w:rPr>
      </w:pPr>
      <w:r w:rsidRPr="0004050C">
        <w:rPr>
          <w:rFonts w:cs="CenturyGothic"/>
          <w:color w:val="000000"/>
          <w:szCs w:val="18"/>
        </w:rPr>
        <w:t>- OPC : dans une optique à moyen/long terme (7 ans minimum conseillés), le portefeuille sera investi essentiellement en OPC actions. Il comportera des OPC monétaires, obligataires, diversifiés ou de performance absolue pour la partie non investie en actions. L'ensemble des OPC pourra être investi sur les marchés français et étrangers. Cette orientation a pour objectif la recherche d'une valorisation élevée du portefeuille mais elle implique un risque de perte en capital entre moyen et élevé. La part actions pourra varier entre 60% et 80% du montant de l'actif.</w:t>
      </w:r>
    </w:p>
    <w:p w14:paraId="4AA2B218" w14:textId="77777777" w:rsidR="00DF7BED" w:rsidRPr="0004050C" w:rsidRDefault="00DF7BED" w:rsidP="00CD54E4">
      <w:pPr>
        <w:autoSpaceDE w:val="0"/>
        <w:autoSpaceDN w:val="0"/>
        <w:adjustRightInd w:val="0"/>
        <w:spacing w:after="0"/>
        <w:rPr>
          <w:rFonts w:cs="CenturyGothic"/>
          <w:color w:val="000000"/>
          <w:szCs w:val="18"/>
        </w:rPr>
      </w:pPr>
    </w:p>
    <w:p w14:paraId="16163DC8" w14:textId="77777777" w:rsidR="00CD54E4" w:rsidRPr="0004050C" w:rsidRDefault="00CD54E4" w:rsidP="00CD54E4">
      <w:pPr>
        <w:autoSpaceDE w:val="0"/>
        <w:autoSpaceDN w:val="0"/>
        <w:adjustRightInd w:val="0"/>
        <w:spacing w:after="0"/>
        <w:rPr>
          <w:rFonts w:cs="CenturyGothic"/>
          <w:color w:val="000000"/>
          <w:szCs w:val="18"/>
        </w:rPr>
      </w:pPr>
      <w:r w:rsidRPr="0004050C">
        <w:rPr>
          <w:rFonts w:cs="CenturyGothic"/>
          <w:color w:val="000000"/>
          <w:szCs w:val="18"/>
        </w:rPr>
        <w:t>- Horizon de placement recommandé : 7 ans minimum</w:t>
      </w:r>
    </w:p>
    <w:p w14:paraId="6E4CD91A" w14:textId="77777777" w:rsidR="00CD54E4" w:rsidRPr="0004050C" w:rsidRDefault="00CD54E4" w:rsidP="00CD54E4">
      <w:pPr>
        <w:rPr>
          <w:rFonts w:cs="CenturyGothic"/>
          <w:color w:val="000000"/>
          <w:szCs w:val="18"/>
        </w:rPr>
      </w:pPr>
      <w:r w:rsidRPr="0004050C">
        <w:rPr>
          <w:rFonts w:cs="CenturyGothic"/>
          <w:color w:val="000000"/>
          <w:szCs w:val="18"/>
        </w:rPr>
        <w:t>- Echelle rendement/risque : 5/7</w:t>
      </w:r>
    </w:p>
    <w:p w14:paraId="1531A42C" w14:textId="57C468CA" w:rsidR="00CD54E4" w:rsidRPr="0004050C" w:rsidRDefault="00CD54E4" w:rsidP="00CD54E4">
      <w:pPr>
        <w:rPr>
          <w:rFonts w:cs="CenturyGothic"/>
          <w:color w:val="000000"/>
          <w:szCs w:val="18"/>
        </w:rPr>
      </w:pPr>
    </w:p>
    <w:p w14:paraId="760D1B9B" w14:textId="77777777" w:rsidR="00483B5F" w:rsidRPr="0004050C" w:rsidRDefault="00483B5F" w:rsidP="00483B5F">
      <w:pPr>
        <w:autoSpaceDE w:val="0"/>
        <w:autoSpaceDN w:val="0"/>
        <w:adjustRightInd w:val="0"/>
        <w:spacing w:after="0"/>
        <w:rPr>
          <w:rFonts w:cs="CenturyGothic"/>
          <w:color w:val="000000"/>
          <w:szCs w:val="18"/>
        </w:rPr>
      </w:pPr>
    </w:p>
    <w:tbl>
      <w:tblPr>
        <w:tblStyle w:val="Grilledutableau"/>
        <w:tblW w:w="0" w:type="auto"/>
        <w:tblLook w:val="04A0" w:firstRow="1" w:lastRow="0" w:firstColumn="1" w:lastColumn="0" w:noHBand="0" w:noVBand="1"/>
      </w:tblPr>
      <w:tblGrid>
        <w:gridCol w:w="988"/>
        <w:gridCol w:w="708"/>
        <w:gridCol w:w="709"/>
        <w:gridCol w:w="707"/>
        <w:gridCol w:w="705"/>
        <w:gridCol w:w="856"/>
        <w:gridCol w:w="851"/>
      </w:tblGrid>
      <w:tr w:rsidR="00483B5F" w:rsidRPr="004829F6" w14:paraId="050323B9" w14:textId="77777777" w:rsidTr="00C42DDA">
        <w:tc>
          <w:tcPr>
            <w:tcW w:w="988" w:type="dxa"/>
          </w:tcPr>
          <w:p w14:paraId="6FE900F7"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1</w:t>
            </w:r>
          </w:p>
        </w:tc>
        <w:tc>
          <w:tcPr>
            <w:tcW w:w="708" w:type="dxa"/>
          </w:tcPr>
          <w:p w14:paraId="58D70714"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2</w:t>
            </w:r>
          </w:p>
        </w:tc>
        <w:tc>
          <w:tcPr>
            <w:tcW w:w="709" w:type="dxa"/>
          </w:tcPr>
          <w:p w14:paraId="4C377424"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3</w:t>
            </w:r>
          </w:p>
        </w:tc>
        <w:tc>
          <w:tcPr>
            <w:tcW w:w="707" w:type="dxa"/>
          </w:tcPr>
          <w:p w14:paraId="066F55CF"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4</w:t>
            </w:r>
          </w:p>
        </w:tc>
        <w:tc>
          <w:tcPr>
            <w:tcW w:w="705" w:type="dxa"/>
            <w:shd w:val="clear" w:color="auto" w:fill="00B0F0"/>
          </w:tcPr>
          <w:p w14:paraId="783B99AC"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5</w:t>
            </w:r>
          </w:p>
        </w:tc>
        <w:tc>
          <w:tcPr>
            <w:tcW w:w="856" w:type="dxa"/>
          </w:tcPr>
          <w:p w14:paraId="21835386"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6</w:t>
            </w:r>
          </w:p>
        </w:tc>
        <w:tc>
          <w:tcPr>
            <w:tcW w:w="851" w:type="dxa"/>
          </w:tcPr>
          <w:p w14:paraId="4627EEDB"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7</w:t>
            </w:r>
          </w:p>
        </w:tc>
      </w:tr>
    </w:tbl>
    <w:p w14:paraId="647E33B7" w14:textId="77777777" w:rsidR="00483B5F" w:rsidRPr="0004050C" w:rsidRDefault="00483B5F" w:rsidP="00483B5F">
      <w:pPr>
        <w:autoSpaceDE w:val="0"/>
        <w:autoSpaceDN w:val="0"/>
        <w:adjustRightInd w:val="0"/>
        <w:spacing w:after="0"/>
        <w:rPr>
          <w:rFonts w:cs="CenturyGothic"/>
          <w:color w:val="000000"/>
          <w:szCs w:val="18"/>
        </w:rPr>
      </w:pPr>
    </w:p>
    <w:p w14:paraId="5892E692" w14:textId="77777777" w:rsidR="00483B5F" w:rsidRPr="0004050C" w:rsidRDefault="00483B5F" w:rsidP="00483B5F">
      <w:pPr>
        <w:autoSpaceDE w:val="0"/>
        <w:autoSpaceDN w:val="0"/>
        <w:adjustRightInd w:val="0"/>
        <w:spacing w:after="0"/>
        <w:rPr>
          <w:rFonts w:cs="CenturyGothic"/>
          <w:color w:val="000000"/>
          <w:szCs w:val="18"/>
        </w:rPr>
      </w:pPr>
      <w:r w:rsidRPr="0004050C">
        <w:rPr>
          <w:rFonts w:cs="CenturyGothic"/>
          <w:color w:val="000000"/>
          <w:szCs w:val="18"/>
        </w:rPr>
        <w:t>Risque plus faible</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risque plus élevé</w:t>
      </w:r>
    </w:p>
    <w:p w14:paraId="16A448E2" w14:textId="77777777" w:rsidR="00483B5F" w:rsidRPr="0004050C" w:rsidRDefault="00483B5F" w:rsidP="00483B5F">
      <w:pPr>
        <w:autoSpaceDE w:val="0"/>
        <w:autoSpaceDN w:val="0"/>
        <w:adjustRightInd w:val="0"/>
        <w:spacing w:after="0"/>
        <w:rPr>
          <w:rFonts w:cs="CenturyGothic"/>
          <w:color w:val="000000"/>
          <w:szCs w:val="18"/>
        </w:rPr>
      </w:pPr>
      <w:r w:rsidRPr="0004050C">
        <w:rPr>
          <w:rFonts w:cs="CenturyGothic"/>
          <w:color w:val="000000"/>
          <w:szCs w:val="18"/>
        </w:rPr>
        <w:t>Rendement potentiel</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rendement potentiel</w:t>
      </w:r>
    </w:p>
    <w:p w14:paraId="378CB169" w14:textId="77777777" w:rsidR="00483B5F" w:rsidRPr="0004050C" w:rsidRDefault="00483B5F" w:rsidP="00483B5F">
      <w:pPr>
        <w:autoSpaceDE w:val="0"/>
        <w:autoSpaceDN w:val="0"/>
        <w:adjustRightInd w:val="0"/>
        <w:spacing w:after="0"/>
        <w:rPr>
          <w:rFonts w:cs="CenturyGothic"/>
          <w:color w:val="000000"/>
          <w:szCs w:val="18"/>
        </w:rPr>
      </w:pPr>
      <w:r w:rsidRPr="0004050C">
        <w:rPr>
          <w:rFonts w:cs="CenturyGothic"/>
          <w:color w:val="000000"/>
          <w:szCs w:val="18"/>
        </w:rPr>
        <w:t>Plus faible</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plus élevé</w:t>
      </w:r>
    </w:p>
    <w:p w14:paraId="24F4F456" w14:textId="2F5074DD" w:rsidR="004829F6" w:rsidRDefault="004829F6">
      <w:pPr>
        <w:spacing w:after="0"/>
        <w:rPr>
          <w:rFonts w:cs="CenturyGothic"/>
          <w:color w:val="000000"/>
          <w:szCs w:val="18"/>
        </w:rPr>
      </w:pPr>
      <w:r>
        <w:rPr>
          <w:rFonts w:cs="CenturyGothic"/>
          <w:color w:val="000000"/>
          <w:szCs w:val="18"/>
        </w:rPr>
        <w:br w:type="page"/>
      </w:r>
    </w:p>
    <w:p w14:paraId="3CA00370" w14:textId="77777777" w:rsidR="00483B5F" w:rsidRPr="0004050C" w:rsidRDefault="00483B5F" w:rsidP="00CD54E4">
      <w:pPr>
        <w:rPr>
          <w:rFonts w:cs="CenturyGothic"/>
          <w:color w:val="000000"/>
          <w:szCs w:val="18"/>
        </w:rPr>
      </w:pPr>
    </w:p>
    <w:p w14:paraId="7D1BB8E0" w14:textId="77777777" w:rsidR="00483B5F" w:rsidRPr="0004050C" w:rsidRDefault="00483B5F" w:rsidP="00CD54E4">
      <w:pPr>
        <w:rPr>
          <w:rFonts w:cs="CenturyGothic"/>
          <w:color w:val="000000"/>
          <w:szCs w:val="18"/>
        </w:rPr>
      </w:pPr>
    </w:p>
    <w:p w14:paraId="2C73EADA" w14:textId="77777777" w:rsidR="00CD54E4" w:rsidRPr="0004050C" w:rsidRDefault="00CD54E4" w:rsidP="00CD54E4">
      <w:pPr>
        <w:rPr>
          <w:rFonts w:cs="CenturyGothic"/>
          <w:b/>
          <w:bCs/>
          <w:color w:val="000000"/>
          <w:szCs w:val="18"/>
        </w:rPr>
      </w:pPr>
      <w:r w:rsidRPr="0004050C">
        <w:rPr>
          <w:rFonts w:cs="CenturyGothic"/>
          <w:b/>
          <w:bCs/>
          <w:color w:val="000000"/>
          <w:szCs w:val="18"/>
        </w:rPr>
        <w:t>Profil Audace :</w:t>
      </w:r>
    </w:p>
    <w:p w14:paraId="76056FE1" w14:textId="77777777" w:rsidR="00CD54E4" w:rsidRPr="0004050C" w:rsidRDefault="00CD54E4" w:rsidP="0004050C">
      <w:pPr>
        <w:autoSpaceDE w:val="0"/>
        <w:autoSpaceDN w:val="0"/>
        <w:adjustRightInd w:val="0"/>
        <w:spacing w:after="0"/>
        <w:jc w:val="both"/>
        <w:rPr>
          <w:rFonts w:cs="CenturyGothic"/>
          <w:color w:val="000000"/>
          <w:szCs w:val="18"/>
        </w:rPr>
      </w:pPr>
      <w:r w:rsidRPr="0004050C">
        <w:rPr>
          <w:rFonts w:cs="CenturyGothic"/>
          <w:color w:val="000000"/>
          <w:szCs w:val="18"/>
        </w:rPr>
        <w:t>1) Nom du profil de gestion : audace ; mixte ou OPC</w:t>
      </w:r>
    </w:p>
    <w:p w14:paraId="71138D77" w14:textId="77777777" w:rsidR="005B5546" w:rsidRPr="0004050C" w:rsidRDefault="00CD54E4" w:rsidP="0004050C">
      <w:pPr>
        <w:autoSpaceDE w:val="0"/>
        <w:autoSpaceDN w:val="0"/>
        <w:adjustRightInd w:val="0"/>
        <w:spacing w:after="0"/>
        <w:jc w:val="both"/>
        <w:rPr>
          <w:rFonts w:cs="CenturyGothic"/>
          <w:color w:val="000000"/>
          <w:szCs w:val="18"/>
        </w:rPr>
      </w:pPr>
      <w:r w:rsidRPr="0004050C">
        <w:rPr>
          <w:rFonts w:cs="CenturyGothic"/>
          <w:color w:val="000000"/>
          <w:szCs w:val="18"/>
        </w:rPr>
        <w:t xml:space="preserve">2) Description de l’objectif de gestion : </w:t>
      </w:r>
    </w:p>
    <w:p w14:paraId="195A4176" w14:textId="3AB416AE" w:rsidR="005B5546" w:rsidRPr="0004050C" w:rsidRDefault="005B5546" w:rsidP="0004050C">
      <w:pPr>
        <w:autoSpaceDE w:val="0"/>
        <w:autoSpaceDN w:val="0"/>
        <w:adjustRightInd w:val="0"/>
        <w:spacing w:after="0"/>
        <w:jc w:val="both"/>
        <w:rPr>
          <w:rFonts w:cs="CenturyGothic"/>
          <w:color w:val="000000"/>
          <w:szCs w:val="18"/>
        </w:rPr>
      </w:pPr>
      <w:r w:rsidRPr="0004050C">
        <w:rPr>
          <w:rFonts w:cs="CenturyGothic"/>
          <w:color w:val="000000"/>
          <w:szCs w:val="18"/>
        </w:rPr>
        <w:t>- Mixte : dans une optique à long terme (8 ans minimum conseillés), le portefeuille sera investi presque uniquement en actions françaises et étrangères. Il pourra être également investi sur des OPC. Cette orientation a pour objectif la recherche d'une valorisation importante du portefeuille mais elle implique un risque de perte en capital élevé. La part actions pourra varier entre 80% et 100% du montant de l'actif.</w:t>
      </w:r>
    </w:p>
    <w:p w14:paraId="66FFF9A3" w14:textId="39D873BA" w:rsidR="005B5546" w:rsidRPr="0004050C" w:rsidRDefault="005B5546" w:rsidP="0004050C">
      <w:pPr>
        <w:autoSpaceDE w:val="0"/>
        <w:autoSpaceDN w:val="0"/>
        <w:adjustRightInd w:val="0"/>
        <w:spacing w:after="0"/>
        <w:jc w:val="both"/>
        <w:rPr>
          <w:rFonts w:cs="CenturyGothic"/>
          <w:color w:val="000000"/>
          <w:szCs w:val="18"/>
        </w:rPr>
      </w:pPr>
      <w:r w:rsidRPr="0004050C">
        <w:rPr>
          <w:rFonts w:cs="CenturyGothic"/>
          <w:color w:val="000000"/>
          <w:szCs w:val="18"/>
        </w:rPr>
        <w:t>- OPC : dans une optique à long terme (8 ans minimum conseillés), le portefeuille sera investi essentiellement en OPC actions. Il comportera des OPC monétaires, obligataires, diversifiés ou de performance absolue pour la partie non investie en actions. L'ensemble des OPC pourra être investi sur les marchés français et étrangers. Cette orientation a pour objectif la recherche d'une valorisation élevée du portefeuille mais implique un risque de perte en capital moyen et élevé. La part actions pourra varier entre 80% et 100% du montant de l'actif.</w:t>
      </w:r>
    </w:p>
    <w:p w14:paraId="492E1A15" w14:textId="77777777" w:rsidR="005B5546" w:rsidRPr="0004050C" w:rsidRDefault="005B5546" w:rsidP="00CD54E4">
      <w:pPr>
        <w:autoSpaceDE w:val="0"/>
        <w:autoSpaceDN w:val="0"/>
        <w:adjustRightInd w:val="0"/>
        <w:spacing w:after="0"/>
        <w:rPr>
          <w:rFonts w:cs="CenturyGothic"/>
          <w:color w:val="000000"/>
          <w:szCs w:val="18"/>
        </w:rPr>
      </w:pPr>
    </w:p>
    <w:p w14:paraId="3318F7FE" w14:textId="77777777" w:rsidR="00CD54E4" w:rsidRPr="0004050C" w:rsidRDefault="00CD54E4" w:rsidP="00CD54E4">
      <w:pPr>
        <w:autoSpaceDE w:val="0"/>
        <w:autoSpaceDN w:val="0"/>
        <w:adjustRightInd w:val="0"/>
        <w:spacing w:after="0"/>
        <w:rPr>
          <w:rFonts w:cs="CenturyGothic"/>
          <w:color w:val="000000"/>
          <w:szCs w:val="18"/>
        </w:rPr>
      </w:pPr>
      <w:r w:rsidRPr="0004050C">
        <w:rPr>
          <w:rFonts w:cs="CenturyGothic"/>
          <w:color w:val="000000"/>
          <w:szCs w:val="18"/>
        </w:rPr>
        <w:t>- Horizon de placement recommandé : 8 ans minimum</w:t>
      </w:r>
    </w:p>
    <w:p w14:paraId="5FEEA0EA" w14:textId="2293853A" w:rsidR="00CD54E4" w:rsidRPr="0004050C" w:rsidRDefault="00CD54E4" w:rsidP="00CD54E4">
      <w:pPr>
        <w:rPr>
          <w:rFonts w:cs="CenturyGothic"/>
          <w:color w:val="000000"/>
          <w:szCs w:val="18"/>
        </w:rPr>
      </w:pPr>
      <w:r w:rsidRPr="0004050C">
        <w:rPr>
          <w:rFonts w:cs="CenturyGothic"/>
          <w:color w:val="000000"/>
          <w:szCs w:val="18"/>
        </w:rPr>
        <w:t xml:space="preserve">- Echelle rendement/risque : </w:t>
      </w:r>
      <w:r w:rsidR="00E6550C" w:rsidRPr="0004050C">
        <w:rPr>
          <w:rFonts w:cs="CenturyGothic"/>
          <w:color w:val="000000"/>
          <w:szCs w:val="18"/>
        </w:rPr>
        <w:t>5</w:t>
      </w:r>
      <w:r w:rsidRPr="0004050C">
        <w:rPr>
          <w:rFonts w:cs="CenturyGothic"/>
          <w:color w:val="000000"/>
          <w:szCs w:val="18"/>
        </w:rPr>
        <w:t>/7</w:t>
      </w:r>
    </w:p>
    <w:p w14:paraId="60A02273" w14:textId="7A57B713" w:rsidR="00CD54E4" w:rsidRPr="0004050C" w:rsidRDefault="00CD54E4" w:rsidP="00CD54E4">
      <w:pPr>
        <w:rPr>
          <w:rFonts w:cs="CenturyGothic"/>
          <w:color w:val="000000"/>
          <w:szCs w:val="18"/>
        </w:rPr>
      </w:pPr>
    </w:p>
    <w:p w14:paraId="211DB23A" w14:textId="77777777" w:rsidR="00483B5F" w:rsidRPr="0004050C" w:rsidRDefault="00483B5F" w:rsidP="00483B5F">
      <w:pPr>
        <w:autoSpaceDE w:val="0"/>
        <w:autoSpaceDN w:val="0"/>
        <w:adjustRightInd w:val="0"/>
        <w:spacing w:after="0"/>
        <w:rPr>
          <w:rFonts w:cs="CenturyGothic"/>
          <w:color w:val="000000"/>
          <w:szCs w:val="18"/>
        </w:rPr>
      </w:pPr>
    </w:p>
    <w:tbl>
      <w:tblPr>
        <w:tblStyle w:val="Grilledutableau"/>
        <w:tblW w:w="0" w:type="auto"/>
        <w:tblLook w:val="04A0" w:firstRow="1" w:lastRow="0" w:firstColumn="1" w:lastColumn="0" w:noHBand="0" w:noVBand="1"/>
      </w:tblPr>
      <w:tblGrid>
        <w:gridCol w:w="988"/>
        <w:gridCol w:w="708"/>
        <w:gridCol w:w="709"/>
        <w:gridCol w:w="707"/>
        <w:gridCol w:w="705"/>
        <w:gridCol w:w="856"/>
        <w:gridCol w:w="851"/>
      </w:tblGrid>
      <w:tr w:rsidR="00483B5F" w:rsidRPr="004829F6" w14:paraId="0FCB5975" w14:textId="77777777" w:rsidTr="00C42DDA">
        <w:tc>
          <w:tcPr>
            <w:tcW w:w="988" w:type="dxa"/>
          </w:tcPr>
          <w:p w14:paraId="0B4B1DFC"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1</w:t>
            </w:r>
          </w:p>
        </w:tc>
        <w:tc>
          <w:tcPr>
            <w:tcW w:w="708" w:type="dxa"/>
          </w:tcPr>
          <w:p w14:paraId="5BCA07E4"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2</w:t>
            </w:r>
          </w:p>
        </w:tc>
        <w:tc>
          <w:tcPr>
            <w:tcW w:w="709" w:type="dxa"/>
          </w:tcPr>
          <w:p w14:paraId="709D8A45"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3</w:t>
            </w:r>
          </w:p>
        </w:tc>
        <w:tc>
          <w:tcPr>
            <w:tcW w:w="707" w:type="dxa"/>
          </w:tcPr>
          <w:p w14:paraId="66CE6E1A"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4</w:t>
            </w:r>
          </w:p>
        </w:tc>
        <w:tc>
          <w:tcPr>
            <w:tcW w:w="705" w:type="dxa"/>
            <w:shd w:val="clear" w:color="auto" w:fill="00B0F0"/>
          </w:tcPr>
          <w:p w14:paraId="1862D129"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5</w:t>
            </w:r>
          </w:p>
        </w:tc>
        <w:tc>
          <w:tcPr>
            <w:tcW w:w="856" w:type="dxa"/>
          </w:tcPr>
          <w:p w14:paraId="21FED316"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6</w:t>
            </w:r>
          </w:p>
        </w:tc>
        <w:tc>
          <w:tcPr>
            <w:tcW w:w="851" w:type="dxa"/>
          </w:tcPr>
          <w:p w14:paraId="47F4A784"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7</w:t>
            </w:r>
          </w:p>
        </w:tc>
      </w:tr>
    </w:tbl>
    <w:p w14:paraId="0733A391" w14:textId="77777777" w:rsidR="00483B5F" w:rsidRPr="0004050C" w:rsidRDefault="00483B5F" w:rsidP="00483B5F">
      <w:pPr>
        <w:autoSpaceDE w:val="0"/>
        <w:autoSpaceDN w:val="0"/>
        <w:adjustRightInd w:val="0"/>
        <w:spacing w:after="0"/>
        <w:rPr>
          <w:rFonts w:cs="CenturyGothic"/>
          <w:color w:val="000000"/>
          <w:szCs w:val="18"/>
        </w:rPr>
      </w:pPr>
    </w:p>
    <w:p w14:paraId="63169EC8" w14:textId="77777777" w:rsidR="00483B5F" w:rsidRPr="0004050C" w:rsidRDefault="00483B5F" w:rsidP="00483B5F">
      <w:pPr>
        <w:autoSpaceDE w:val="0"/>
        <w:autoSpaceDN w:val="0"/>
        <w:adjustRightInd w:val="0"/>
        <w:spacing w:after="0"/>
        <w:rPr>
          <w:rFonts w:cs="CenturyGothic"/>
          <w:color w:val="000000"/>
          <w:szCs w:val="18"/>
        </w:rPr>
      </w:pPr>
      <w:r w:rsidRPr="0004050C">
        <w:rPr>
          <w:rFonts w:cs="CenturyGothic"/>
          <w:color w:val="000000"/>
          <w:szCs w:val="18"/>
        </w:rPr>
        <w:t>Risque plus faible</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risque plus élevé</w:t>
      </w:r>
    </w:p>
    <w:p w14:paraId="75D645D4" w14:textId="77777777" w:rsidR="00483B5F" w:rsidRPr="0004050C" w:rsidRDefault="00483B5F" w:rsidP="00483B5F">
      <w:pPr>
        <w:autoSpaceDE w:val="0"/>
        <w:autoSpaceDN w:val="0"/>
        <w:adjustRightInd w:val="0"/>
        <w:spacing w:after="0"/>
        <w:rPr>
          <w:rFonts w:cs="CenturyGothic"/>
          <w:color w:val="000000"/>
          <w:szCs w:val="18"/>
        </w:rPr>
      </w:pPr>
      <w:r w:rsidRPr="0004050C">
        <w:rPr>
          <w:rFonts w:cs="CenturyGothic"/>
          <w:color w:val="000000"/>
          <w:szCs w:val="18"/>
        </w:rPr>
        <w:t>Rendement potentiel</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rendement potentiel</w:t>
      </w:r>
    </w:p>
    <w:p w14:paraId="3841DACA" w14:textId="77777777" w:rsidR="00483B5F" w:rsidRPr="0004050C" w:rsidRDefault="00483B5F" w:rsidP="00483B5F">
      <w:pPr>
        <w:autoSpaceDE w:val="0"/>
        <w:autoSpaceDN w:val="0"/>
        <w:adjustRightInd w:val="0"/>
        <w:spacing w:after="0"/>
        <w:rPr>
          <w:rFonts w:cs="CenturyGothic"/>
          <w:color w:val="000000"/>
          <w:szCs w:val="18"/>
        </w:rPr>
      </w:pPr>
      <w:r w:rsidRPr="0004050C">
        <w:rPr>
          <w:rFonts w:cs="CenturyGothic"/>
          <w:color w:val="000000"/>
          <w:szCs w:val="18"/>
        </w:rPr>
        <w:t>Plus faible</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plus élevé</w:t>
      </w:r>
    </w:p>
    <w:p w14:paraId="12173C21" w14:textId="3D39DA8D" w:rsidR="00483B5F" w:rsidRDefault="00483B5F" w:rsidP="00CD54E4">
      <w:pPr>
        <w:rPr>
          <w:rFonts w:cs="CenturyGothic"/>
          <w:color w:val="000000"/>
          <w:szCs w:val="18"/>
        </w:rPr>
      </w:pPr>
    </w:p>
    <w:p w14:paraId="6F823168" w14:textId="388A5117" w:rsidR="004829F6" w:rsidRDefault="004829F6" w:rsidP="00CD54E4">
      <w:pPr>
        <w:rPr>
          <w:rFonts w:cs="CenturyGothic"/>
          <w:color w:val="000000"/>
          <w:szCs w:val="18"/>
        </w:rPr>
      </w:pPr>
    </w:p>
    <w:p w14:paraId="2D55BA9F" w14:textId="29FB08AE" w:rsidR="004829F6" w:rsidRDefault="004829F6" w:rsidP="00CD54E4">
      <w:pPr>
        <w:rPr>
          <w:rFonts w:cs="CenturyGothic"/>
          <w:color w:val="000000"/>
          <w:szCs w:val="18"/>
        </w:rPr>
      </w:pPr>
    </w:p>
    <w:p w14:paraId="1E88BA9A" w14:textId="77777777" w:rsidR="004829F6" w:rsidRPr="0004050C" w:rsidRDefault="004829F6" w:rsidP="00CD54E4">
      <w:pPr>
        <w:rPr>
          <w:rFonts w:cs="CenturyGothic"/>
          <w:color w:val="000000"/>
          <w:szCs w:val="18"/>
        </w:rPr>
      </w:pPr>
    </w:p>
    <w:p w14:paraId="2462D51F" w14:textId="77777777" w:rsidR="00483B5F" w:rsidRPr="0004050C" w:rsidRDefault="00483B5F" w:rsidP="00CD54E4">
      <w:pPr>
        <w:rPr>
          <w:rFonts w:cs="CenturyGothic"/>
          <w:color w:val="000000"/>
          <w:szCs w:val="18"/>
        </w:rPr>
      </w:pPr>
    </w:p>
    <w:p w14:paraId="7A566FC3" w14:textId="77777777" w:rsidR="00CD54E4" w:rsidRPr="0004050C" w:rsidRDefault="00CD54E4" w:rsidP="00CD54E4">
      <w:pPr>
        <w:rPr>
          <w:rFonts w:cs="CenturyGothic"/>
          <w:b/>
          <w:bCs/>
          <w:color w:val="000000"/>
          <w:szCs w:val="18"/>
        </w:rPr>
      </w:pPr>
      <w:r w:rsidRPr="0004050C">
        <w:rPr>
          <w:rFonts w:cs="CenturyGothic"/>
          <w:b/>
          <w:bCs/>
          <w:color w:val="000000"/>
          <w:szCs w:val="18"/>
        </w:rPr>
        <w:t>Profil PEA Patrimoine :</w:t>
      </w:r>
    </w:p>
    <w:p w14:paraId="610A91CF" w14:textId="77777777" w:rsidR="00CD54E4" w:rsidRPr="0004050C" w:rsidRDefault="00CD54E4" w:rsidP="0004050C">
      <w:pPr>
        <w:autoSpaceDE w:val="0"/>
        <w:autoSpaceDN w:val="0"/>
        <w:adjustRightInd w:val="0"/>
        <w:spacing w:after="0"/>
        <w:jc w:val="both"/>
        <w:rPr>
          <w:rFonts w:cs="CenturyGothic"/>
          <w:color w:val="000000"/>
          <w:szCs w:val="18"/>
        </w:rPr>
      </w:pPr>
      <w:r w:rsidRPr="0004050C">
        <w:rPr>
          <w:rFonts w:cs="CenturyGothic"/>
          <w:color w:val="000000"/>
          <w:szCs w:val="18"/>
        </w:rPr>
        <w:t>1) Nom du profil de gestion : PEA Patrimoine ; mixte ou OPC</w:t>
      </w:r>
    </w:p>
    <w:p w14:paraId="3A12C93F" w14:textId="77777777" w:rsidR="00904A53" w:rsidRPr="0004050C" w:rsidRDefault="00CD54E4" w:rsidP="0004050C">
      <w:pPr>
        <w:autoSpaceDE w:val="0"/>
        <w:autoSpaceDN w:val="0"/>
        <w:adjustRightInd w:val="0"/>
        <w:spacing w:after="0"/>
        <w:jc w:val="both"/>
        <w:rPr>
          <w:rFonts w:cs="CenturyGothic"/>
          <w:color w:val="000000"/>
          <w:szCs w:val="18"/>
        </w:rPr>
      </w:pPr>
      <w:r w:rsidRPr="0004050C">
        <w:rPr>
          <w:rFonts w:cs="CenturyGothic"/>
          <w:color w:val="000000"/>
          <w:szCs w:val="18"/>
        </w:rPr>
        <w:t xml:space="preserve">2) Description de l’objectif de gestion : </w:t>
      </w:r>
    </w:p>
    <w:p w14:paraId="566B7021" w14:textId="41CFFDCE" w:rsidR="00904A53" w:rsidRPr="0004050C" w:rsidRDefault="00905702" w:rsidP="0004050C">
      <w:pPr>
        <w:autoSpaceDE w:val="0"/>
        <w:autoSpaceDN w:val="0"/>
        <w:adjustRightInd w:val="0"/>
        <w:spacing w:after="0"/>
        <w:jc w:val="both"/>
        <w:rPr>
          <w:rFonts w:cs="CenturyGothic"/>
          <w:color w:val="000000"/>
          <w:szCs w:val="18"/>
        </w:rPr>
      </w:pPr>
      <w:r w:rsidRPr="0004050C">
        <w:rPr>
          <w:rFonts w:cs="CenturyGothic"/>
          <w:color w:val="000000"/>
          <w:szCs w:val="18"/>
        </w:rPr>
        <w:t xml:space="preserve">- Mixte : </w:t>
      </w:r>
      <w:r w:rsidRPr="0004050C">
        <w:rPr>
          <w:rFonts w:cs="GillSansMT"/>
          <w:szCs w:val="18"/>
          <w:lang w:eastAsia="fr-FR"/>
        </w:rPr>
        <w:t>dans une optique à long terme (8 ans minimum conseillés), le portefeuille sera investi exclusivement en titres éligibles au PEA. Il pourra être également investi en OPC diversifiés éligibles au PEA. Cette orientation a pour objectif la recherche d'une valorisation élevée du portefeuille mais implique un risque de perte en capital entre moyen et élevé. La part actions pourra varier entre 80% et 100% du montant de l'actif.</w:t>
      </w:r>
    </w:p>
    <w:p w14:paraId="6D13A174" w14:textId="5EAB4C72" w:rsidR="00904A53" w:rsidRPr="0004050C" w:rsidRDefault="00905702" w:rsidP="0004050C">
      <w:pPr>
        <w:autoSpaceDE w:val="0"/>
        <w:autoSpaceDN w:val="0"/>
        <w:adjustRightInd w:val="0"/>
        <w:spacing w:after="0"/>
        <w:jc w:val="both"/>
        <w:rPr>
          <w:rFonts w:cs="CenturyGothic"/>
          <w:color w:val="000000"/>
          <w:szCs w:val="18"/>
        </w:rPr>
      </w:pPr>
      <w:r w:rsidRPr="0004050C">
        <w:rPr>
          <w:rFonts w:cs="CenturyGothic"/>
          <w:color w:val="000000"/>
          <w:szCs w:val="18"/>
        </w:rPr>
        <w:t>- OPC : dans une optique à long terme (8 ans minimum conseillés), le portefeuille sera investi exclusivement en instruments financiers (OPC) éligibles au PEA. Cette orientation a pour objectif la recherche d'une valorisation élevée avec une volatilité contrôlée du portefeuille mais implique un risque de perte en capital entre moyen et élevé. La part actions pourra varier entre 80% et 100% du montant de l'actif.</w:t>
      </w:r>
    </w:p>
    <w:p w14:paraId="0DA207C2" w14:textId="77777777" w:rsidR="00904A53" w:rsidRPr="0004050C" w:rsidRDefault="00904A53" w:rsidP="00CD54E4">
      <w:pPr>
        <w:autoSpaceDE w:val="0"/>
        <w:autoSpaceDN w:val="0"/>
        <w:adjustRightInd w:val="0"/>
        <w:spacing w:after="0"/>
        <w:rPr>
          <w:rFonts w:cs="CenturyGothic"/>
          <w:color w:val="000000"/>
          <w:szCs w:val="18"/>
        </w:rPr>
      </w:pPr>
    </w:p>
    <w:p w14:paraId="2EE37A18" w14:textId="77777777" w:rsidR="00CD54E4" w:rsidRPr="0004050C" w:rsidRDefault="00CD54E4" w:rsidP="00CD54E4">
      <w:pPr>
        <w:autoSpaceDE w:val="0"/>
        <w:autoSpaceDN w:val="0"/>
        <w:adjustRightInd w:val="0"/>
        <w:spacing w:after="0"/>
        <w:rPr>
          <w:rFonts w:cs="CenturyGothic"/>
          <w:color w:val="000000"/>
          <w:szCs w:val="18"/>
        </w:rPr>
      </w:pPr>
      <w:r w:rsidRPr="0004050C">
        <w:rPr>
          <w:rFonts w:cs="CenturyGothic"/>
          <w:color w:val="000000"/>
          <w:szCs w:val="18"/>
        </w:rPr>
        <w:t>- Horizon de placement recommandé : 8 ans minimum</w:t>
      </w:r>
    </w:p>
    <w:p w14:paraId="67CFAF93" w14:textId="341AE8FA" w:rsidR="00CD54E4" w:rsidRPr="0004050C" w:rsidRDefault="00CD54E4" w:rsidP="00CD54E4">
      <w:pPr>
        <w:rPr>
          <w:rFonts w:cs="CenturyGothic"/>
          <w:color w:val="000000"/>
          <w:szCs w:val="18"/>
        </w:rPr>
      </w:pPr>
      <w:r w:rsidRPr="0004050C">
        <w:rPr>
          <w:rFonts w:cs="CenturyGothic"/>
          <w:color w:val="000000"/>
          <w:szCs w:val="18"/>
        </w:rPr>
        <w:t xml:space="preserve">- Echelle rendement/risque : </w:t>
      </w:r>
      <w:r w:rsidR="00E6550C" w:rsidRPr="0004050C">
        <w:rPr>
          <w:rFonts w:cs="CenturyGothic"/>
          <w:color w:val="000000"/>
          <w:szCs w:val="18"/>
        </w:rPr>
        <w:t>5</w:t>
      </w:r>
      <w:r w:rsidRPr="0004050C">
        <w:rPr>
          <w:rFonts w:cs="CenturyGothic"/>
          <w:color w:val="000000"/>
          <w:szCs w:val="18"/>
        </w:rPr>
        <w:t>/7</w:t>
      </w:r>
    </w:p>
    <w:p w14:paraId="258F97D6" w14:textId="66935127" w:rsidR="00CD54E4" w:rsidRPr="0004050C" w:rsidRDefault="00CD54E4" w:rsidP="00CD54E4">
      <w:pPr>
        <w:rPr>
          <w:rFonts w:cs="CenturyGothic"/>
          <w:color w:val="000000"/>
          <w:szCs w:val="18"/>
        </w:rPr>
      </w:pPr>
    </w:p>
    <w:p w14:paraId="7447BE44" w14:textId="77777777" w:rsidR="00483B5F" w:rsidRPr="0004050C" w:rsidRDefault="00483B5F" w:rsidP="00483B5F">
      <w:pPr>
        <w:autoSpaceDE w:val="0"/>
        <w:autoSpaceDN w:val="0"/>
        <w:adjustRightInd w:val="0"/>
        <w:spacing w:after="0"/>
        <w:rPr>
          <w:rFonts w:cs="CenturyGothic"/>
          <w:color w:val="000000"/>
          <w:szCs w:val="18"/>
        </w:rPr>
      </w:pPr>
    </w:p>
    <w:tbl>
      <w:tblPr>
        <w:tblStyle w:val="Grilledutableau"/>
        <w:tblW w:w="0" w:type="auto"/>
        <w:tblLook w:val="04A0" w:firstRow="1" w:lastRow="0" w:firstColumn="1" w:lastColumn="0" w:noHBand="0" w:noVBand="1"/>
      </w:tblPr>
      <w:tblGrid>
        <w:gridCol w:w="988"/>
        <w:gridCol w:w="708"/>
        <w:gridCol w:w="709"/>
        <w:gridCol w:w="707"/>
        <w:gridCol w:w="705"/>
        <w:gridCol w:w="856"/>
        <w:gridCol w:w="851"/>
      </w:tblGrid>
      <w:tr w:rsidR="00483B5F" w:rsidRPr="004829F6" w14:paraId="056A93CF" w14:textId="77777777" w:rsidTr="00C42DDA">
        <w:tc>
          <w:tcPr>
            <w:tcW w:w="988" w:type="dxa"/>
          </w:tcPr>
          <w:p w14:paraId="7F5B3195"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1</w:t>
            </w:r>
          </w:p>
        </w:tc>
        <w:tc>
          <w:tcPr>
            <w:tcW w:w="708" w:type="dxa"/>
          </w:tcPr>
          <w:p w14:paraId="688A1D22"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2</w:t>
            </w:r>
          </w:p>
        </w:tc>
        <w:tc>
          <w:tcPr>
            <w:tcW w:w="709" w:type="dxa"/>
          </w:tcPr>
          <w:p w14:paraId="158C92DF"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3</w:t>
            </w:r>
          </w:p>
        </w:tc>
        <w:tc>
          <w:tcPr>
            <w:tcW w:w="707" w:type="dxa"/>
          </w:tcPr>
          <w:p w14:paraId="4CEB2F9B"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4</w:t>
            </w:r>
          </w:p>
        </w:tc>
        <w:tc>
          <w:tcPr>
            <w:tcW w:w="705" w:type="dxa"/>
            <w:shd w:val="clear" w:color="auto" w:fill="00B0F0"/>
          </w:tcPr>
          <w:p w14:paraId="758E28CB"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5</w:t>
            </w:r>
          </w:p>
        </w:tc>
        <w:tc>
          <w:tcPr>
            <w:tcW w:w="856" w:type="dxa"/>
          </w:tcPr>
          <w:p w14:paraId="69BFEBA1"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6</w:t>
            </w:r>
          </w:p>
        </w:tc>
        <w:tc>
          <w:tcPr>
            <w:tcW w:w="851" w:type="dxa"/>
          </w:tcPr>
          <w:p w14:paraId="02BF714F"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7</w:t>
            </w:r>
          </w:p>
        </w:tc>
      </w:tr>
    </w:tbl>
    <w:p w14:paraId="64B510D7" w14:textId="77777777" w:rsidR="00483B5F" w:rsidRPr="0004050C" w:rsidRDefault="00483B5F" w:rsidP="00483B5F">
      <w:pPr>
        <w:autoSpaceDE w:val="0"/>
        <w:autoSpaceDN w:val="0"/>
        <w:adjustRightInd w:val="0"/>
        <w:spacing w:after="0"/>
        <w:rPr>
          <w:rFonts w:cs="CenturyGothic"/>
          <w:color w:val="000000"/>
          <w:szCs w:val="18"/>
        </w:rPr>
      </w:pPr>
    </w:p>
    <w:p w14:paraId="1153F21F" w14:textId="77777777" w:rsidR="00483B5F" w:rsidRPr="0004050C" w:rsidRDefault="00483B5F" w:rsidP="00483B5F">
      <w:pPr>
        <w:autoSpaceDE w:val="0"/>
        <w:autoSpaceDN w:val="0"/>
        <w:adjustRightInd w:val="0"/>
        <w:spacing w:after="0"/>
        <w:rPr>
          <w:rFonts w:cs="CenturyGothic"/>
          <w:color w:val="000000"/>
          <w:szCs w:val="18"/>
        </w:rPr>
      </w:pPr>
      <w:r w:rsidRPr="0004050C">
        <w:rPr>
          <w:rFonts w:cs="CenturyGothic"/>
          <w:color w:val="000000"/>
          <w:szCs w:val="18"/>
        </w:rPr>
        <w:t>Risque plus faible</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risque plus élevé</w:t>
      </w:r>
    </w:p>
    <w:p w14:paraId="5C7C5AA3" w14:textId="77777777" w:rsidR="00483B5F" w:rsidRPr="0004050C" w:rsidRDefault="00483B5F" w:rsidP="00483B5F">
      <w:pPr>
        <w:autoSpaceDE w:val="0"/>
        <w:autoSpaceDN w:val="0"/>
        <w:adjustRightInd w:val="0"/>
        <w:spacing w:after="0"/>
        <w:rPr>
          <w:rFonts w:cs="CenturyGothic"/>
          <w:color w:val="000000"/>
          <w:szCs w:val="18"/>
        </w:rPr>
      </w:pPr>
      <w:r w:rsidRPr="0004050C">
        <w:rPr>
          <w:rFonts w:cs="CenturyGothic"/>
          <w:color w:val="000000"/>
          <w:szCs w:val="18"/>
        </w:rPr>
        <w:t>Rendement potentiel</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rendement potentiel</w:t>
      </w:r>
    </w:p>
    <w:p w14:paraId="29AE1514" w14:textId="77777777" w:rsidR="00483B5F" w:rsidRPr="0004050C" w:rsidRDefault="00483B5F" w:rsidP="00483B5F">
      <w:pPr>
        <w:autoSpaceDE w:val="0"/>
        <w:autoSpaceDN w:val="0"/>
        <w:adjustRightInd w:val="0"/>
        <w:spacing w:after="0"/>
        <w:rPr>
          <w:rFonts w:cs="CenturyGothic"/>
          <w:color w:val="000000"/>
          <w:szCs w:val="18"/>
        </w:rPr>
      </w:pPr>
      <w:r w:rsidRPr="0004050C">
        <w:rPr>
          <w:rFonts w:cs="CenturyGothic"/>
          <w:color w:val="000000"/>
          <w:szCs w:val="18"/>
        </w:rPr>
        <w:t>Plus faible</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plus élevé</w:t>
      </w:r>
    </w:p>
    <w:p w14:paraId="3C9D4080" w14:textId="1698934F" w:rsidR="004829F6" w:rsidRDefault="004829F6">
      <w:pPr>
        <w:spacing w:after="0"/>
        <w:rPr>
          <w:rFonts w:cs="CenturyGothic"/>
          <w:color w:val="000000"/>
          <w:szCs w:val="18"/>
        </w:rPr>
      </w:pPr>
      <w:r>
        <w:rPr>
          <w:rFonts w:cs="CenturyGothic"/>
          <w:color w:val="000000"/>
          <w:szCs w:val="18"/>
        </w:rPr>
        <w:br w:type="page"/>
      </w:r>
    </w:p>
    <w:p w14:paraId="7657FA63" w14:textId="77777777" w:rsidR="00483B5F" w:rsidRPr="0004050C" w:rsidRDefault="00483B5F" w:rsidP="00CD54E4">
      <w:pPr>
        <w:rPr>
          <w:rFonts w:cs="CenturyGothic"/>
          <w:color w:val="000000"/>
          <w:szCs w:val="18"/>
        </w:rPr>
      </w:pPr>
    </w:p>
    <w:p w14:paraId="72857AEA" w14:textId="2FF86612" w:rsidR="00483B5F" w:rsidRPr="0004050C" w:rsidRDefault="00483B5F" w:rsidP="00CD54E4">
      <w:pPr>
        <w:rPr>
          <w:rFonts w:cs="CenturyGothic"/>
          <w:color w:val="000000"/>
          <w:szCs w:val="18"/>
        </w:rPr>
      </w:pPr>
    </w:p>
    <w:p w14:paraId="10C0A2C5" w14:textId="77777777" w:rsidR="00CD54E4" w:rsidRPr="0004050C" w:rsidRDefault="00CD54E4" w:rsidP="00CD54E4">
      <w:pPr>
        <w:rPr>
          <w:rFonts w:cs="CenturyGothic"/>
          <w:b/>
          <w:bCs/>
          <w:color w:val="000000"/>
          <w:szCs w:val="18"/>
        </w:rPr>
      </w:pPr>
      <w:r w:rsidRPr="0004050C">
        <w:rPr>
          <w:rFonts w:cs="CenturyGothic"/>
          <w:b/>
          <w:bCs/>
          <w:color w:val="000000"/>
          <w:szCs w:val="18"/>
        </w:rPr>
        <w:t>Profil PEA dynamique :</w:t>
      </w:r>
    </w:p>
    <w:p w14:paraId="4931119E" w14:textId="77777777" w:rsidR="00CD54E4" w:rsidRPr="0004050C" w:rsidRDefault="00CD54E4" w:rsidP="0004050C">
      <w:pPr>
        <w:autoSpaceDE w:val="0"/>
        <w:autoSpaceDN w:val="0"/>
        <w:adjustRightInd w:val="0"/>
        <w:spacing w:after="0"/>
        <w:jc w:val="both"/>
        <w:rPr>
          <w:rFonts w:cs="CenturyGothic"/>
          <w:color w:val="000000"/>
          <w:szCs w:val="18"/>
        </w:rPr>
      </w:pPr>
      <w:r w:rsidRPr="0004050C">
        <w:rPr>
          <w:rFonts w:cs="CenturyGothic"/>
          <w:color w:val="000000"/>
          <w:szCs w:val="18"/>
        </w:rPr>
        <w:t>1) Nom du profil de gestion : PEA dynamique ; mixte ou OPC</w:t>
      </w:r>
    </w:p>
    <w:p w14:paraId="496126FD" w14:textId="77777777" w:rsidR="00905702" w:rsidRPr="0004050C" w:rsidRDefault="00CD54E4" w:rsidP="0004050C">
      <w:pPr>
        <w:autoSpaceDE w:val="0"/>
        <w:autoSpaceDN w:val="0"/>
        <w:adjustRightInd w:val="0"/>
        <w:spacing w:after="0"/>
        <w:jc w:val="both"/>
        <w:rPr>
          <w:rFonts w:cs="CenturyGothic"/>
          <w:color w:val="000000"/>
          <w:szCs w:val="18"/>
        </w:rPr>
      </w:pPr>
      <w:r w:rsidRPr="0004050C">
        <w:rPr>
          <w:rFonts w:cs="CenturyGothic"/>
          <w:color w:val="000000"/>
          <w:szCs w:val="18"/>
        </w:rPr>
        <w:t xml:space="preserve">2) Description de l’objectif de gestion : </w:t>
      </w:r>
    </w:p>
    <w:p w14:paraId="3CDE7A46" w14:textId="3C38389C" w:rsidR="00905702" w:rsidRPr="0004050C" w:rsidRDefault="00905702" w:rsidP="0004050C">
      <w:pPr>
        <w:autoSpaceDE w:val="0"/>
        <w:autoSpaceDN w:val="0"/>
        <w:adjustRightInd w:val="0"/>
        <w:spacing w:after="0"/>
        <w:jc w:val="both"/>
        <w:rPr>
          <w:rFonts w:cs="CenturyGothic"/>
          <w:color w:val="000000"/>
          <w:szCs w:val="18"/>
        </w:rPr>
      </w:pPr>
      <w:r w:rsidRPr="0004050C">
        <w:rPr>
          <w:rFonts w:cs="CenturyGothic"/>
          <w:color w:val="000000"/>
          <w:szCs w:val="18"/>
        </w:rPr>
        <w:t>- Mixte : dans une optique à long terme (8 ans minimum conseillés), le portefeuille sera investi exclusivement en titres éligibles au PEA. Il pourra être également investi en OPC diversifiés éligibles au PEA. Cette orientation a pour objectif la recherche d'une valorisation élevée du portefeuille mais implique un risque de perte en capital entre moyen et élevé. La part actions pourra varier entre 80% et 100% du montant de l'actif.</w:t>
      </w:r>
    </w:p>
    <w:p w14:paraId="47C83C1F" w14:textId="2BA433D8" w:rsidR="00905702" w:rsidRPr="0004050C" w:rsidRDefault="00905702" w:rsidP="0004050C">
      <w:pPr>
        <w:autoSpaceDE w:val="0"/>
        <w:autoSpaceDN w:val="0"/>
        <w:adjustRightInd w:val="0"/>
        <w:spacing w:after="0"/>
        <w:jc w:val="both"/>
        <w:rPr>
          <w:rFonts w:cs="CenturyGothic"/>
          <w:color w:val="000000"/>
          <w:szCs w:val="18"/>
        </w:rPr>
      </w:pPr>
      <w:r w:rsidRPr="0004050C">
        <w:rPr>
          <w:rFonts w:cs="CenturyGothic"/>
          <w:color w:val="000000"/>
          <w:szCs w:val="18"/>
        </w:rPr>
        <w:t>- OPC : dans une optique à long terme (8 ans minimum conseillés), le portefeuille sera investi exclusivement en instruments financiers (OPC) éligibles au PEA. Cette orientation a pour objectif la recherche d'une valorisation très élevée du portefeuille mais implique un risque de perte en capital entre moyen et élevé. La part actions pourra varier entre 80% et 100% du montant de l'actif.</w:t>
      </w:r>
    </w:p>
    <w:p w14:paraId="64D56D78" w14:textId="77777777" w:rsidR="00905702" w:rsidRPr="0004050C" w:rsidRDefault="00905702" w:rsidP="0004050C">
      <w:pPr>
        <w:autoSpaceDE w:val="0"/>
        <w:autoSpaceDN w:val="0"/>
        <w:adjustRightInd w:val="0"/>
        <w:spacing w:after="0"/>
        <w:jc w:val="both"/>
        <w:rPr>
          <w:rFonts w:cs="CenturyGothic"/>
          <w:color w:val="000000"/>
          <w:szCs w:val="18"/>
        </w:rPr>
      </w:pPr>
    </w:p>
    <w:p w14:paraId="4566C397" w14:textId="77777777" w:rsidR="00CD54E4" w:rsidRPr="0004050C" w:rsidRDefault="00CD54E4" w:rsidP="0004050C">
      <w:pPr>
        <w:autoSpaceDE w:val="0"/>
        <w:autoSpaceDN w:val="0"/>
        <w:adjustRightInd w:val="0"/>
        <w:spacing w:after="0"/>
        <w:jc w:val="both"/>
        <w:rPr>
          <w:rFonts w:cs="CenturyGothic"/>
          <w:color w:val="000000"/>
          <w:szCs w:val="18"/>
        </w:rPr>
      </w:pPr>
      <w:r w:rsidRPr="0004050C">
        <w:rPr>
          <w:rFonts w:cs="CenturyGothic"/>
          <w:color w:val="000000"/>
          <w:szCs w:val="18"/>
        </w:rPr>
        <w:t>- Horizon de placement recommandé : 8 ans minimum</w:t>
      </w:r>
    </w:p>
    <w:p w14:paraId="126A3F1E" w14:textId="0F73CF28" w:rsidR="00CD54E4" w:rsidRPr="0004050C" w:rsidRDefault="00CD54E4" w:rsidP="0004050C">
      <w:pPr>
        <w:jc w:val="both"/>
        <w:rPr>
          <w:rFonts w:cs="CenturyGothic"/>
          <w:color w:val="000000"/>
          <w:szCs w:val="18"/>
        </w:rPr>
      </w:pPr>
      <w:r w:rsidRPr="0004050C">
        <w:rPr>
          <w:rFonts w:cs="CenturyGothic"/>
          <w:color w:val="000000"/>
          <w:szCs w:val="18"/>
        </w:rPr>
        <w:t xml:space="preserve">- Echelle rendement/risque : </w:t>
      </w:r>
      <w:r w:rsidR="00E6550C" w:rsidRPr="0004050C">
        <w:rPr>
          <w:rFonts w:cs="CenturyGothic"/>
          <w:color w:val="000000"/>
          <w:szCs w:val="18"/>
        </w:rPr>
        <w:t>5</w:t>
      </w:r>
      <w:r w:rsidRPr="0004050C">
        <w:rPr>
          <w:rFonts w:cs="CenturyGothic"/>
          <w:color w:val="000000"/>
          <w:szCs w:val="18"/>
        </w:rPr>
        <w:t>/7</w:t>
      </w:r>
    </w:p>
    <w:p w14:paraId="68DEEC93" w14:textId="5C7B4B1E" w:rsidR="00483B5F" w:rsidRPr="0004050C" w:rsidRDefault="00483B5F" w:rsidP="00CD54E4">
      <w:pPr>
        <w:rPr>
          <w:rFonts w:cs="CenturyGothic"/>
          <w:color w:val="000000"/>
          <w:szCs w:val="18"/>
        </w:rPr>
      </w:pPr>
    </w:p>
    <w:p w14:paraId="7B8007F8" w14:textId="77777777" w:rsidR="00483B5F" w:rsidRPr="0004050C" w:rsidRDefault="00483B5F" w:rsidP="00483B5F">
      <w:pPr>
        <w:autoSpaceDE w:val="0"/>
        <w:autoSpaceDN w:val="0"/>
        <w:adjustRightInd w:val="0"/>
        <w:spacing w:after="0"/>
        <w:rPr>
          <w:rFonts w:cs="CenturyGothic"/>
          <w:color w:val="000000"/>
          <w:szCs w:val="18"/>
        </w:rPr>
      </w:pPr>
    </w:p>
    <w:tbl>
      <w:tblPr>
        <w:tblStyle w:val="Grilledutableau"/>
        <w:tblW w:w="0" w:type="auto"/>
        <w:tblLook w:val="04A0" w:firstRow="1" w:lastRow="0" w:firstColumn="1" w:lastColumn="0" w:noHBand="0" w:noVBand="1"/>
      </w:tblPr>
      <w:tblGrid>
        <w:gridCol w:w="988"/>
        <w:gridCol w:w="708"/>
        <w:gridCol w:w="709"/>
        <w:gridCol w:w="707"/>
        <w:gridCol w:w="705"/>
        <w:gridCol w:w="856"/>
        <w:gridCol w:w="851"/>
      </w:tblGrid>
      <w:tr w:rsidR="00483B5F" w:rsidRPr="004829F6" w14:paraId="0E180891" w14:textId="77777777" w:rsidTr="00C42DDA">
        <w:tc>
          <w:tcPr>
            <w:tcW w:w="988" w:type="dxa"/>
          </w:tcPr>
          <w:p w14:paraId="79BEA855"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1</w:t>
            </w:r>
          </w:p>
        </w:tc>
        <w:tc>
          <w:tcPr>
            <w:tcW w:w="708" w:type="dxa"/>
          </w:tcPr>
          <w:p w14:paraId="224CACCE"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2</w:t>
            </w:r>
          </w:p>
        </w:tc>
        <w:tc>
          <w:tcPr>
            <w:tcW w:w="709" w:type="dxa"/>
          </w:tcPr>
          <w:p w14:paraId="728E3246"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3</w:t>
            </w:r>
          </w:p>
        </w:tc>
        <w:tc>
          <w:tcPr>
            <w:tcW w:w="707" w:type="dxa"/>
          </w:tcPr>
          <w:p w14:paraId="542BA6A8"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4</w:t>
            </w:r>
          </w:p>
        </w:tc>
        <w:tc>
          <w:tcPr>
            <w:tcW w:w="705" w:type="dxa"/>
            <w:shd w:val="clear" w:color="auto" w:fill="00B0F0"/>
          </w:tcPr>
          <w:p w14:paraId="29A5655B"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5</w:t>
            </w:r>
          </w:p>
        </w:tc>
        <w:tc>
          <w:tcPr>
            <w:tcW w:w="856" w:type="dxa"/>
          </w:tcPr>
          <w:p w14:paraId="492E243B"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6</w:t>
            </w:r>
          </w:p>
        </w:tc>
        <w:tc>
          <w:tcPr>
            <w:tcW w:w="851" w:type="dxa"/>
          </w:tcPr>
          <w:p w14:paraId="0A30D2EA" w14:textId="77777777" w:rsidR="00483B5F" w:rsidRPr="0004050C" w:rsidRDefault="00483B5F" w:rsidP="00C41F61">
            <w:pPr>
              <w:autoSpaceDE w:val="0"/>
              <w:autoSpaceDN w:val="0"/>
              <w:adjustRightInd w:val="0"/>
              <w:spacing w:after="0"/>
              <w:jc w:val="center"/>
              <w:rPr>
                <w:rFonts w:cs="CenturyGothic"/>
                <w:color w:val="000000"/>
                <w:szCs w:val="18"/>
              </w:rPr>
            </w:pPr>
            <w:r w:rsidRPr="0004050C">
              <w:rPr>
                <w:rFonts w:cs="CenturyGothic"/>
                <w:color w:val="000000"/>
                <w:szCs w:val="18"/>
              </w:rPr>
              <w:t>7</w:t>
            </w:r>
          </w:p>
        </w:tc>
      </w:tr>
    </w:tbl>
    <w:p w14:paraId="4B0D66EF" w14:textId="77777777" w:rsidR="00483B5F" w:rsidRPr="0004050C" w:rsidRDefault="00483B5F" w:rsidP="00483B5F">
      <w:pPr>
        <w:autoSpaceDE w:val="0"/>
        <w:autoSpaceDN w:val="0"/>
        <w:adjustRightInd w:val="0"/>
        <w:spacing w:after="0"/>
        <w:rPr>
          <w:rFonts w:cs="CenturyGothic"/>
          <w:color w:val="000000"/>
          <w:szCs w:val="18"/>
        </w:rPr>
      </w:pPr>
    </w:p>
    <w:p w14:paraId="5C32CADF" w14:textId="77777777" w:rsidR="00483B5F" w:rsidRPr="0004050C" w:rsidRDefault="00483B5F" w:rsidP="00483B5F">
      <w:pPr>
        <w:autoSpaceDE w:val="0"/>
        <w:autoSpaceDN w:val="0"/>
        <w:adjustRightInd w:val="0"/>
        <w:spacing w:after="0"/>
        <w:rPr>
          <w:rFonts w:cs="CenturyGothic"/>
          <w:color w:val="000000"/>
          <w:szCs w:val="18"/>
        </w:rPr>
      </w:pPr>
      <w:r w:rsidRPr="0004050C">
        <w:rPr>
          <w:rFonts w:cs="CenturyGothic"/>
          <w:color w:val="000000"/>
          <w:szCs w:val="18"/>
        </w:rPr>
        <w:t>Risque plus faible</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risque plus élevé</w:t>
      </w:r>
    </w:p>
    <w:p w14:paraId="239DA401" w14:textId="77777777" w:rsidR="00483B5F" w:rsidRPr="0004050C" w:rsidRDefault="00483B5F" w:rsidP="00483B5F">
      <w:pPr>
        <w:autoSpaceDE w:val="0"/>
        <w:autoSpaceDN w:val="0"/>
        <w:adjustRightInd w:val="0"/>
        <w:spacing w:after="0"/>
        <w:rPr>
          <w:rFonts w:cs="CenturyGothic"/>
          <w:color w:val="000000"/>
          <w:szCs w:val="18"/>
        </w:rPr>
      </w:pPr>
      <w:r w:rsidRPr="0004050C">
        <w:rPr>
          <w:rFonts w:cs="CenturyGothic"/>
          <w:color w:val="000000"/>
          <w:szCs w:val="18"/>
        </w:rPr>
        <w:t>Rendement potentiel</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rendement potentiel</w:t>
      </w:r>
    </w:p>
    <w:p w14:paraId="71A98FC7" w14:textId="77777777" w:rsidR="00483B5F" w:rsidRPr="0004050C" w:rsidRDefault="00483B5F" w:rsidP="00483B5F">
      <w:pPr>
        <w:autoSpaceDE w:val="0"/>
        <w:autoSpaceDN w:val="0"/>
        <w:adjustRightInd w:val="0"/>
        <w:spacing w:after="0"/>
        <w:rPr>
          <w:rFonts w:cs="CenturyGothic"/>
          <w:color w:val="000000"/>
          <w:szCs w:val="18"/>
        </w:rPr>
      </w:pPr>
      <w:r w:rsidRPr="0004050C">
        <w:rPr>
          <w:rFonts w:cs="CenturyGothic"/>
          <w:color w:val="000000"/>
          <w:szCs w:val="18"/>
        </w:rPr>
        <w:t>Plus faible</w:t>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r>
      <w:r w:rsidRPr="0004050C">
        <w:rPr>
          <w:rFonts w:cs="CenturyGothic"/>
          <w:color w:val="000000"/>
          <w:szCs w:val="18"/>
        </w:rPr>
        <w:tab/>
        <w:t>plus élevé</w:t>
      </w:r>
    </w:p>
    <w:p w14:paraId="00FD9857" w14:textId="77777777" w:rsidR="00483B5F" w:rsidRPr="0004050C" w:rsidRDefault="00483B5F" w:rsidP="00CD54E4">
      <w:pPr>
        <w:rPr>
          <w:rFonts w:cs="CenturyGothic"/>
          <w:color w:val="000000"/>
          <w:szCs w:val="18"/>
        </w:rPr>
      </w:pPr>
    </w:p>
    <w:p w14:paraId="0CF874DF" w14:textId="07340385" w:rsidR="00CD54E4" w:rsidRDefault="00CD54E4" w:rsidP="00BA6B6A">
      <w:pPr>
        <w:pStyle w:val="NormalHuge"/>
      </w:pPr>
    </w:p>
    <w:p w14:paraId="7177BE56" w14:textId="77777777" w:rsidR="004829F6" w:rsidRPr="004829F6" w:rsidRDefault="004829F6" w:rsidP="00BA6B6A">
      <w:pPr>
        <w:pStyle w:val="NormalHuge"/>
      </w:pPr>
    </w:p>
    <w:p w14:paraId="32ED761F" w14:textId="14E1E919" w:rsidR="00AF50EA" w:rsidRPr="004829F6" w:rsidRDefault="00D00903" w:rsidP="00D00903">
      <w:pPr>
        <w:pStyle w:val="NormalHuge"/>
        <w:rPr>
          <w:b/>
          <w:bCs/>
          <w:sz w:val="20"/>
          <w:szCs w:val="20"/>
        </w:rPr>
      </w:pPr>
      <w:r w:rsidRPr="004829F6">
        <w:rPr>
          <w:b/>
          <w:bCs/>
          <w:sz w:val="20"/>
          <w:szCs w:val="20"/>
        </w:rPr>
        <w:t xml:space="preserve">ARTICLE </w:t>
      </w:r>
      <w:r w:rsidR="00635905" w:rsidRPr="004829F6">
        <w:rPr>
          <w:b/>
          <w:bCs/>
          <w:sz w:val="20"/>
          <w:szCs w:val="20"/>
        </w:rPr>
        <w:t>5</w:t>
      </w:r>
      <w:r w:rsidRPr="004829F6">
        <w:rPr>
          <w:b/>
          <w:bCs/>
          <w:sz w:val="20"/>
          <w:szCs w:val="20"/>
        </w:rPr>
        <w:t> :</w:t>
      </w:r>
      <w:r w:rsidR="004937D5" w:rsidRPr="004829F6">
        <w:rPr>
          <w:b/>
          <w:bCs/>
          <w:sz w:val="20"/>
          <w:szCs w:val="20"/>
        </w:rPr>
        <w:tab/>
      </w:r>
      <w:r w:rsidR="007B2147" w:rsidRPr="004829F6">
        <w:rPr>
          <w:b/>
          <w:bCs/>
          <w:sz w:val="20"/>
          <w:szCs w:val="20"/>
        </w:rPr>
        <w:t>INSTRUMENTS AUTORISES</w:t>
      </w:r>
      <w:r w:rsidR="00AF50EA" w:rsidRPr="004829F6">
        <w:rPr>
          <w:b/>
          <w:bCs/>
          <w:sz w:val="20"/>
          <w:szCs w:val="20"/>
        </w:rPr>
        <w:t xml:space="preserve"> – </w:t>
      </w:r>
      <w:r w:rsidR="007B2147" w:rsidRPr="004829F6">
        <w:rPr>
          <w:b/>
          <w:bCs/>
          <w:sz w:val="20"/>
          <w:szCs w:val="20"/>
        </w:rPr>
        <w:t>INSTRUMENTS INTERDITS</w:t>
      </w:r>
    </w:p>
    <w:p w14:paraId="5AD95C0D" w14:textId="77777777" w:rsidR="00AF50EA" w:rsidRPr="004829F6" w:rsidRDefault="00AF50EA" w:rsidP="00AF50EA">
      <w:pPr>
        <w:pStyle w:val="NormalHuge"/>
      </w:pPr>
      <w:bookmarkStart w:id="3" w:name="_Hlk153184570"/>
      <w:r w:rsidRPr="004829F6">
        <w:t>Conformément à la réglementation en vigueur, le Mandataire est autorisé à exécuter de sa propre initiative, sauf convention écrite contraire, les opérations portant sur les instruments financiers suivants :</w:t>
      </w:r>
    </w:p>
    <w:p w14:paraId="5FAD4D6D" w14:textId="77777777" w:rsidR="00AF50EA" w:rsidRPr="004829F6" w:rsidRDefault="00AF50EA" w:rsidP="00AF50EA">
      <w:pPr>
        <w:pStyle w:val="NormalHuge"/>
      </w:pPr>
      <w:r w:rsidRPr="004829F6">
        <w:t>- Les instruments financiers négociés sur un marché réglementé mentionné aux articles L. 421-1 et L. 422-1 du code monétaire et financier ou sur un marché étranger de titres financiers reconnu, mentionné à l’article L. 432-1 du même code.</w:t>
      </w:r>
    </w:p>
    <w:p w14:paraId="168049EF" w14:textId="5F25EAAA" w:rsidR="00AF50EA" w:rsidRPr="004829F6" w:rsidRDefault="00AF50EA" w:rsidP="00AF50EA">
      <w:pPr>
        <w:pStyle w:val="NormalHuge"/>
      </w:pPr>
      <w:r w:rsidRPr="004829F6">
        <w:t>- Les OPC de droit français ou de droit étranger agréés conformément à la directive 2009/65/CE du Parlement européen et du Conseil du 13 juillet 2009 et les FIA de droit français ouverts aux investisseurs non professionnels ;</w:t>
      </w:r>
    </w:p>
    <w:p w14:paraId="52A1088D" w14:textId="77777777" w:rsidR="00AF50EA" w:rsidRPr="004829F6" w:rsidRDefault="00AF50EA" w:rsidP="00AF50EA">
      <w:pPr>
        <w:pStyle w:val="NormalHuge"/>
      </w:pPr>
      <w:r w:rsidRPr="004829F6">
        <w:t>- Les contrats financiers négociés sur un marché figurant sur la liste fixée par arrêté ministériel ;</w:t>
      </w:r>
    </w:p>
    <w:p w14:paraId="3B74FC31" w14:textId="058F056C" w:rsidR="00635905" w:rsidRPr="004829F6" w:rsidRDefault="00635905" w:rsidP="007B2147">
      <w:pPr>
        <w:pStyle w:val="NormalHuge"/>
      </w:pPr>
      <w:r w:rsidRPr="004829F6">
        <w:t>Les instruments financiers interdits sont :</w:t>
      </w:r>
    </w:p>
    <w:p w14:paraId="7BF4B246" w14:textId="77777777" w:rsidR="00894A98" w:rsidRPr="004829F6" w:rsidRDefault="00894A98" w:rsidP="00894A98">
      <w:pPr>
        <w:pStyle w:val="NormalHuge"/>
      </w:pPr>
      <w:r w:rsidRPr="004829F6">
        <w:t>- Produits dérivés en direct</w:t>
      </w:r>
    </w:p>
    <w:p w14:paraId="7568247B" w14:textId="77777777" w:rsidR="00894A98" w:rsidRPr="004829F6" w:rsidRDefault="00894A98" w:rsidP="00894A98">
      <w:pPr>
        <w:pStyle w:val="NormalHuge"/>
      </w:pPr>
      <w:r w:rsidRPr="004829F6">
        <w:t>- Warrants</w:t>
      </w:r>
    </w:p>
    <w:p w14:paraId="0DC9D660" w14:textId="374C8908" w:rsidR="00635905" w:rsidRPr="004829F6" w:rsidRDefault="00894A98" w:rsidP="00894A98">
      <w:pPr>
        <w:pStyle w:val="NormalHuge"/>
      </w:pPr>
      <w:r w:rsidRPr="004829F6">
        <w:t>- Produits complexes</w:t>
      </w:r>
    </w:p>
    <w:bookmarkEnd w:id="3"/>
    <w:p w14:paraId="266277DF" w14:textId="222102F1" w:rsidR="007B2147" w:rsidRPr="004829F6" w:rsidRDefault="00931CAB" w:rsidP="007B2147">
      <w:pPr>
        <w:pStyle w:val="NormalHuge"/>
      </w:pPr>
      <w:r w:rsidRPr="004829F6">
        <w:t>La BANQUE communiquera en temps utile les évolutions apportées à ces informations.</w:t>
      </w:r>
    </w:p>
    <w:p w14:paraId="2FE1A08A" w14:textId="77777777" w:rsidR="00496383" w:rsidRPr="004829F6" w:rsidRDefault="00496383" w:rsidP="00496383">
      <w:pPr>
        <w:pStyle w:val="Articles"/>
        <w:numPr>
          <w:ilvl w:val="0"/>
          <w:numId w:val="0"/>
        </w:numPr>
      </w:pPr>
    </w:p>
    <w:p w14:paraId="2A9D803A" w14:textId="661F720C" w:rsidR="00DB7096" w:rsidRPr="004829F6" w:rsidRDefault="00496383" w:rsidP="00496383">
      <w:pPr>
        <w:pStyle w:val="Articles"/>
        <w:numPr>
          <w:ilvl w:val="0"/>
          <w:numId w:val="0"/>
        </w:numPr>
      </w:pPr>
      <w:r w:rsidRPr="004829F6">
        <w:t> ARTICLE 6 :</w:t>
      </w:r>
      <w:r w:rsidR="00DB7096" w:rsidRPr="004829F6">
        <w:t> Information du Mandant</w:t>
      </w:r>
    </w:p>
    <w:p w14:paraId="774CFF38" w14:textId="77777777" w:rsidR="00B52C43" w:rsidRPr="004829F6" w:rsidRDefault="00B52C43" w:rsidP="00B52C43">
      <w:pPr>
        <w:pStyle w:val="NormalHuge"/>
      </w:pPr>
      <w:r w:rsidRPr="004829F6">
        <w:t>Le Mandant est informé que toute communication avec la BANQUE s'effectuera en langue française.</w:t>
      </w:r>
    </w:p>
    <w:p w14:paraId="5FE7F27D" w14:textId="3659F276" w:rsidR="00B225F6" w:rsidRPr="004829F6" w:rsidRDefault="00B225F6" w:rsidP="00B225F6">
      <w:pPr>
        <w:pStyle w:val="NormalHuge"/>
      </w:pPr>
      <w:r w:rsidRPr="004829F6">
        <w:t>Le Mandant sera avisé de chaque opération initiée par la BANQUE qui aura affecté son compte par une information consolidée sur son relevé périodique défini ci-après.</w:t>
      </w:r>
    </w:p>
    <w:p w14:paraId="3E8F93F1" w14:textId="6C4FDA20" w:rsidR="00B54895" w:rsidRPr="004829F6" w:rsidRDefault="00B54895" w:rsidP="00B225F6">
      <w:pPr>
        <w:pStyle w:val="NormalHuge"/>
      </w:pPr>
      <w:r w:rsidRPr="004829F6">
        <w:t>Le Mandant sera avisé de chaque opération initiée par la BANQUE qui aura affecté son compte par l’envoi d’un avis opéré</w:t>
      </w:r>
      <w:r w:rsidR="00496383" w:rsidRPr="004829F6">
        <w:t>,</w:t>
      </w:r>
      <w:r w:rsidRPr="004829F6">
        <w:t xml:space="preserve"> transaction par transaction</w:t>
      </w:r>
      <w:r w:rsidR="00496383" w:rsidRPr="004829F6">
        <w:t>,</w:t>
      </w:r>
      <w:r w:rsidRPr="004829F6">
        <w:t xml:space="preserve"> dématérialisé sur son « Espace client » s’il a opté pour la dématérialisation de tous les avis, relevés et rapports émis par la BANQUE ou par courrier postal dans le cas contraire. </w:t>
      </w:r>
    </w:p>
    <w:p w14:paraId="70443819" w14:textId="77777777" w:rsidR="007E5EE7" w:rsidRPr="004829F6" w:rsidRDefault="003D79DF" w:rsidP="00B52C43">
      <w:pPr>
        <w:pStyle w:val="NormalHuge"/>
      </w:pPr>
      <w:r w:rsidRPr="004829F6">
        <w:lastRenderedPageBreak/>
        <w:t>Le Mandant autorise expressément la Banque à lui envoyer les informations liées à son Mandat sur support durable, à l’adresse mail communiquée par ailleurs. Le Mandant pourra à tout moment demander par écrit un retour à une communication sur support papier moyennant un préavis d’un mois.</w:t>
      </w:r>
    </w:p>
    <w:p w14:paraId="5F5805B6" w14:textId="70822ECA" w:rsidR="00B52C43" w:rsidRPr="004829F6" w:rsidRDefault="00B52C43" w:rsidP="00B52C43">
      <w:pPr>
        <w:pStyle w:val="NormalHuge"/>
      </w:pPr>
      <w:r w:rsidRPr="004829F6">
        <w:t>Le relevé́ p</w:t>
      </w:r>
      <w:r w:rsidRPr="004829F6">
        <w:rPr>
          <w:rFonts w:cs="Century Gothic"/>
        </w:rPr>
        <w:t>é</w:t>
      </w:r>
      <w:r w:rsidRPr="004829F6">
        <w:t>riodique</w:t>
      </w:r>
      <w:r w:rsidR="00C568EB" w:rsidRPr="004829F6">
        <w:t xml:space="preserve"> </w:t>
      </w:r>
      <w:r w:rsidRPr="004829F6">
        <w:t xml:space="preserve">est un compte-rendu juste et </w:t>
      </w:r>
      <w:r w:rsidRPr="004829F6">
        <w:rPr>
          <w:rFonts w:cs="Century Gothic"/>
        </w:rPr>
        <w:t>é</w:t>
      </w:r>
      <w:r w:rsidRPr="004829F6">
        <w:t>quilibr</w:t>
      </w:r>
      <w:r w:rsidR="0008649D" w:rsidRPr="004829F6">
        <w:t>é</w:t>
      </w:r>
      <w:r w:rsidRPr="004829F6">
        <w:t xml:space="preserve"> de la gestion et de la performance du portefeuille qui est fourni au Mandant une fois tous les trois mois.</w:t>
      </w:r>
      <w:r w:rsidR="00273ABF" w:rsidRPr="004829F6">
        <w:t xml:space="preserve"> </w:t>
      </w:r>
    </w:p>
    <w:p w14:paraId="7566F559" w14:textId="560BDF45" w:rsidR="00D92B33" w:rsidRPr="004829F6" w:rsidRDefault="0051389D" w:rsidP="00B52C43">
      <w:pPr>
        <w:pStyle w:val="NormalHuge"/>
      </w:pPr>
      <w:r w:rsidRPr="004829F6">
        <w:t>Et lorsque l</w:t>
      </w:r>
      <w:r w:rsidR="00617379" w:rsidRPr="004829F6">
        <w:t xml:space="preserve">e mandat </w:t>
      </w:r>
      <w:r w:rsidRPr="004829F6">
        <w:t>autorise un effet de levier sur le portefeuille, le relevé périodique doit être fourni au Mandant au moins une fois par mois.</w:t>
      </w:r>
    </w:p>
    <w:p w14:paraId="4EDFFFA5" w14:textId="185A2187" w:rsidR="00B52C43" w:rsidRPr="004829F6" w:rsidRDefault="00B54895" w:rsidP="00B52C43">
      <w:pPr>
        <w:pStyle w:val="NormalHuge"/>
      </w:pPr>
      <w:r w:rsidRPr="004829F6">
        <w:t>En tout état de cause, l</w:t>
      </w:r>
      <w:r w:rsidR="00CC2473" w:rsidRPr="004829F6">
        <w:t>a BANQUE lui adresse également un relevé périodique au moins une fois tous les douze mois.</w:t>
      </w:r>
    </w:p>
    <w:p w14:paraId="5A2C1291" w14:textId="0665AE01" w:rsidR="008C122D" w:rsidRPr="004829F6" w:rsidRDefault="00B52C43" w:rsidP="00B52C43">
      <w:pPr>
        <w:pStyle w:val="NormalHuge"/>
      </w:pPr>
      <w:r w:rsidRPr="004829F6">
        <w:t xml:space="preserve">Conformément à la réglementation en vigueur, </w:t>
      </w:r>
      <w:r w:rsidR="003950B6" w:rsidRPr="004829F6">
        <w:t>la BANQUE informera le Mandant</w:t>
      </w:r>
      <w:r w:rsidRPr="004829F6">
        <w:t>, par tout moyen, lorsque la valorisation globale retraitée des apports et des retraits de son portefeuille baissera de 10% par rapport à la valorisation figurant dans le dernier relevé</w:t>
      </w:r>
      <w:r w:rsidR="0047137A" w:rsidRPr="004829F6">
        <w:t xml:space="preserve"> trimestriel</w:t>
      </w:r>
      <w:r w:rsidRPr="004829F6">
        <w:t>. Le Mandant sera ensuite informé par palier de 10% successifs.</w:t>
      </w:r>
      <w:r w:rsidR="009E0A04" w:rsidRPr="004829F6">
        <w:t xml:space="preserve"> </w:t>
      </w:r>
    </w:p>
    <w:p w14:paraId="19B4291B" w14:textId="70149DD4" w:rsidR="00B52C43" w:rsidRPr="004829F6" w:rsidRDefault="00B52C43" w:rsidP="00B52C43">
      <w:pPr>
        <w:pStyle w:val="NormalHuge"/>
      </w:pPr>
      <w:r w:rsidRPr="004829F6">
        <w:t>Le Mandant recevra l’ensemble des documents qui lui sont nécessaires pour la rédaction de ses déclarations fiscales dans le cas où ceux-ci ne seraient pas prévus dans leur convention de compte d'instruments financiers et de services.</w:t>
      </w:r>
    </w:p>
    <w:p w14:paraId="61F7C945" w14:textId="5FD30CD6" w:rsidR="00221B73" w:rsidRPr="004829F6" w:rsidRDefault="00221B73" w:rsidP="00221B73">
      <w:pPr>
        <w:pStyle w:val="NormalHuge"/>
      </w:pPr>
      <w:r w:rsidRPr="004829F6">
        <w:t>La BANQUE valorise trimestriellement le portefeuille dans le rapport de gestion selon la méthode de l’actif net sur la base</w:t>
      </w:r>
      <w:r w:rsidR="00900723" w:rsidRPr="004829F6">
        <w:t xml:space="preserve"> </w:t>
      </w:r>
      <w:r w:rsidRPr="004829F6">
        <w:t>du dernier cours estimé à la date d’arrêté de la valorisation.</w:t>
      </w:r>
    </w:p>
    <w:p w14:paraId="37C7EC10" w14:textId="0825851C" w:rsidR="00B52C43" w:rsidRPr="004829F6" w:rsidRDefault="00B52C43" w:rsidP="00B52C43">
      <w:pPr>
        <w:pStyle w:val="NormalHuge"/>
      </w:pPr>
      <w:r w:rsidRPr="004829F6">
        <w:t>La BANQUE communiquera au Mandant des informations sur la méthode et la fréquence d'évaluation des instruments financiers qui ne sont pas admis sur un marché réglementé.</w:t>
      </w:r>
    </w:p>
    <w:p w14:paraId="0BB7F729" w14:textId="59F0CC68" w:rsidR="00B52C43" w:rsidRPr="004829F6" w:rsidRDefault="00B52C43" w:rsidP="00B52C43">
      <w:pPr>
        <w:pStyle w:val="NormalHuge"/>
      </w:pPr>
      <w:r w:rsidRPr="004829F6">
        <w:t xml:space="preserve">Sur demande du Mandant, la BANQUE communiquera toute information sur la position du compte géré. </w:t>
      </w:r>
    </w:p>
    <w:p w14:paraId="2B918F1A" w14:textId="77777777" w:rsidR="00B52C43" w:rsidRPr="004829F6" w:rsidRDefault="00B52C43" w:rsidP="00B52C43">
      <w:pPr>
        <w:pStyle w:val="NormalHuge"/>
      </w:pPr>
      <w:r w:rsidRPr="004829F6">
        <w:t>La BANQUE attire l’attention du Mandant sur les risques inhérents à l’activité de gestion de portefeuille pour le compte de tiers notamment les risques de contrepartie, de liquidité, de marché ou opérationnel.</w:t>
      </w:r>
    </w:p>
    <w:p w14:paraId="0A2B9C8F" w14:textId="77777777" w:rsidR="00B52C43" w:rsidRPr="007A6C1F" w:rsidRDefault="00B52C43" w:rsidP="007A6C1F">
      <w:pPr>
        <w:pStyle w:val="NormalHuge"/>
        <w:rPr>
          <w:szCs w:val="18"/>
        </w:rPr>
      </w:pPr>
      <w:r w:rsidRPr="007A6C1F">
        <w:rPr>
          <w:szCs w:val="18"/>
        </w:rPr>
        <w:t>Le risque de contrepartie est défini comme le risque de perte pour le placement collectif ou le portefeuille individuel résultant du fait que la contrepartie à une opération ou à un contrat peut faillir à ses obligations avant que l'opération ait été réglée de manière définitive sous la forme d'un flux financier.</w:t>
      </w:r>
    </w:p>
    <w:p w14:paraId="4621D1B2" w14:textId="4762FF2A" w:rsidR="00B52C43" w:rsidRPr="004829F6" w:rsidRDefault="00B52C43" w:rsidP="00B52C43">
      <w:pPr>
        <w:pStyle w:val="NormalHuge"/>
      </w:pPr>
      <w:r w:rsidRPr="004829F6">
        <w:t xml:space="preserve">Le risque de liquidité est défini comme le risque qu'une position dans le portefeuille ne puisse être cédée, liquidée ou clôturée pour un coût limité et dans un délai suffisamment court, compromettant ainsi la capacité de </w:t>
      </w:r>
      <w:r w:rsidR="002B4162" w:rsidRPr="004829F6">
        <w:t xml:space="preserve">chaque instrument financier </w:t>
      </w:r>
      <w:r w:rsidRPr="004829F6">
        <w:t>à se conformer à tout moment à l’exigence d’émission et de rachat à la demande des investisseurs, ou la capacité pour la BANQUE de liquider des positions dans un portefeuille individuel dans des conditions conformes aux obligations contractuelles résultant du mandat de gestion.</w:t>
      </w:r>
    </w:p>
    <w:p w14:paraId="1A7678E7" w14:textId="77777777" w:rsidR="00B52C43" w:rsidRPr="004829F6" w:rsidRDefault="00B52C43" w:rsidP="00B52C43">
      <w:pPr>
        <w:pStyle w:val="NormalHuge"/>
      </w:pPr>
      <w:r w:rsidRPr="004829F6">
        <w:t>Le risque de marché est défini comme le risque de perte pour le placement collectif ou le portefeuille individuel résultant d'une fluctuation de la valeur de marché des positions de son portefeuille imputable à une modification de variables du marché telles que les taux d'intérêt, les taux de change, les cours d'actions et de matières premières, ou à une modification de la qualité de crédit d'un émetteur.</w:t>
      </w:r>
    </w:p>
    <w:p w14:paraId="4E08E439" w14:textId="77777777" w:rsidR="00DB7096" w:rsidRPr="004829F6" w:rsidRDefault="00B52C43" w:rsidP="00B52C43">
      <w:pPr>
        <w:pStyle w:val="NormalHuge"/>
      </w:pPr>
      <w:r w:rsidRPr="004829F6">
        <w:t>Le risque opérationnel est le risque de perte pour le placement collectif ou le portefeuille individuel géré résultant de l'inadéquation de processus internes et de défaillances liées aux personnes et aux systèmes de la BANQUE, ou résultant d'événements extérieurs, y compris le risque juridique et le risque de documentation, ainsi que le risque résultant des procédures de négociation, de règlement et d'évaluation, appliquées pour le compte du placement collectif ou du portefeuille individuel.</w:t>
      </w:r>
    </w:p>
    <w:p w14:paraId="3196FD60" w14:textId="77777777" w:rsidR="00EB52B8" w:rsidRPr="004829F6" w:rsidRDefault="00EB52B8" w:rsidP="00B52C43">
      <w:pPr>
        <w:pStyle w:val="NormalHuge"/>
      </w:pPr>
    </w:p>
    <w:p w14:paraId="46284249" w14:textId="545D7655" w:rsidR="00DB7096" w:rsidRPr="004829F6" w:rsidRDefault="00000885" w:rsidP="00000885">
      <w:pPr>
        <w:pStyle w:val="Articles"/>
        <w:numPr>
          <w:ilvl w:val="0"/>
          <w:numId w:val="0"/>
        </w:numPr>
      </w:pPr>
      <w:r w:rsidRPr="004829F6">
        <w:t> ARTICLE 7 :</w:t>
      </w:r>
      <w:r w:rsidR="00DB7096" w:rsidRPr="004829F6">
        <w:t> Rémunération, commissions et frais</w:t>
      </w:r>
    </w:p>
    <w:p w14:paraId="001A3E26" w14:textId="21EF0EA3" w:rsidR="006C364C" w:rsidRPr="004829F6" w:rsidRDefault="00B52C43" w:rsidP="00B52C43">
      <w:pPr>
        <w:pStyle w:val="NormalHuge"/>
      </w:pPr>
      <w:r w:rsidRPr="004829F6">
        <w:t xml:space="preserve">Le Mandant reconnaît expressément avoir pris connaissance des tarifs des courtages, droits de garde et frais en vigueur à la </w:t>
      </w:r>
      <w:r w:rsidRPr="004829F6">
        <w:rPr>
          <w:caps/>
        </w:rPr>
        <w:t xml:space="preserve">BANQUE </w:t>
      </w:r>
      <w:r w:rsidRPr="004829F6">
        <w:t xml:space="preserve">qui s’appliquent </w:t>
      </w:r>
      <w:r w:rsidR="008C122D" w:rsidRPr="004829F6">
        <w:t xml:space="preserve">au </w:t>
      </w:r>
      <w:r w:rsidRPr="004829F6">
        <w:t>présent</w:t>
      </w:r>
      <w:r w:rsidR="008C122D" w:rsidRPr="004829F6">
        <w:t xml:space="preserve"> mandat </w:t>
      </w:r>
      <w:r w:rsidRPr="004829F6">
        <w:t xml:space="preserve">et qui y sont annexés (Annexe </w:t>
      </w:r>
      <w:r w:rsidR="00A67723" w:rsidRPr="004829F6">
        <w:t>I</w:t>
      </w:r>
      <w:r w:rsidRPr="004829F6">
        <w:t xml:space="preserve">). </w:t>
      </w:r>
    </w:p>
    <w:p w14:paraId="095E1496" w14:textId="2A7CBA83" w:rsidR="00B52C43" w:rsidRPr="004829F6" w:rsidRDefault="006C364C" w:rsidP="00B52C43">
      <w:pPr>
        <w:pStyle w:val="NormalHuge"/>
      </w:pPr>
      <w:r w:rsidRPr="004829F6">
        <w:t xml:space="preserve"> </w:t>
      </w:r>
      <w:r w:rsidR="00B52C43" w:rsidRPr="004829F6">
        <w:t xml:space="preserve">Les droits d’entrée, de sortie et les frais de gestion des </w:t>
      </w:r>
      <w:r w:rsidR="003A7827" w:rsidRPr="004829F6">
        <w:t xml:space="preserve">OPC </w:t>
      </w:r>
      <w:r w:rsidR="00B52C43" w:rsidRPr="004829F6">
        <w:t>figurent dans le</w:t>
      </w:r>
      <w:r w:rsidR="003A7827" w:rsidRPr="004829F6">
        <w:t>ur</w:t>
      </w:r>
      <w:r w:rsidR="00B52C43" w:rsidRPr="004829F6">
        <w:t xml:space="preserve">s documents </w:t>
      </w:r>
      <w:r w:rsidR="004B3812" w:rsidRPr="004829F6">
        <w:t>réglem</w:t>
      </w:r>
      <w:r w:rsidR="00062D8D" w:rsidRPr="004829F6">
        <w:t>e</w:t>
      </w:r>
      <w:r w:rsidR="004B3812" w:rsidRPr="004829F6">
        <w:t>ntaires</w:t>
      </w:r>
      <w:r w:rsidR="003A7827" w:rsidRPr="004829F6">
        <w:t xml:space="preserve">. </w:t>
      </w:r>
    </w:p>
    <w:p w14:paraId="03AC0DCC" w14:textId="307129E7" w:rsidR="00B928AD" w:rsidRPr="004829F6" w:rsidRDefault="00B928AD" w:rsidP="00B928AD">
      <w:pPr>
        <w:pStyle w:val="NormalHuge"/>
      </w:pPr>
      <w:r w:rsidRPr="004829F6">
        <w:t>La BANQUE peut appliquer une tarification incluant des droits d’entrée ou de sortie pour les opérations portant sur les OPC hors Groupe ou bien sur des commissions de mouvement portant sur des titres. A cet égard, la BANQUE peut être intéressée à tout mouvement portant sur lesdits instruments financiers figurant dans le portefeuille qu’elle gère pour votre compte. Une telle situation est sujette à conflit d’intérêt.</w:t>
      </w:r>
    </w:p>
    <w:p w14:paraId="794870B1" w14:textId="648B184B" w:rsidR="00B52C43" w:rsidRPr="004829F6" w:rsidRDefault="00B52C43" w:rsidP="00B52C43">
      <w:pPr>
        <w:pStyle w:val="NormalHuge"/>
      </w:pPr>
      <w:r w:rsidRPr="004829F6">
        <w:t>Des droits de garde seront prélevés au titre de la conservation des instruments financiers.</w:t>
      </w:r>
    </w:p>
    <w:p w14:paraId="6B182AF6" w14:textId="77CB3BFE" w:rsidR="00B52C43" w:rsidRPr="004829F6" w:rsidRDefault="00B52C43" w:rsidP="00B52C43">
      <w:pPr>
        <w:pStyle w:val="NormalHuge"/>
      </w:pPr>
      <w:r w:rsidRPr="004829F6">
        <w:t xml:space="preserve">Une commission au titre de la gestion financière sera due à titre de contribution annuelle aux frais entraînés par l’exécution du présent Mandat. Cette commission sera calculée conformément au barème figurant en Annexe I dont le </w:t>
      </w:r>
      <w:r w:rsidRPr="004829F6">
        <w:lastRenderedPageBreak/>
        <w:t>Mandant déclare connaître les mod</w:t>
      </w:r>
      <w:r w:rsidR="00BD42FD" w:rsidRPr="004829F6">
        <w:t xml:space="preserve">alités et les accepter. En cas </w:t>
      </w:r>
      <w:r w:rsidRPr="004829F6">
        <w:t xml:space="preserve">de résiliation, la commission de gestion sera due à la BANQUE </w:t>
      </w:r>
      <w:r w:rsidR="00A55612">
        <w:t xml:space="preserve">au </w:t>
      </w:r>
      <w:r w:rsidRPr="004829F6">
        <w:t>prorata temporis.</w:t>
      </w:r>
    </w:p>
    <w:p w14:paraId="19351887" w14:textId="77777777" w:rsidR="00B52C43" w:rsidRPr="004829F6" w:rsidRDefault="00B52C43" w:rsidP="00B52C43">
      <w:pPr>
        <w:pStyle w:val="NormalHuge"/>
      </w:pPr>
      <w:r w:rsidRPr="004829F6">
        <w:t xml:space="preserve">Dans le cas où le montant total des commissions et frais perçus par la </w:t>
      </w:r>
      <w:r w:rsidRPr="004829F6">
        <w:rPr>
          <w:caps/>
        </w:rPr>
        <w:t xml:space="preserve">BANQUE </w:t>
      </w:r>
      <w:r w:rsidRPr="004829F6">
        <w:t>n'apparaît pas dans le relevé périodique, le Mandant recevra un relevé d’honoraires annuellement.</w:t>
      </w:r>
    </w:p>
    <w:p w14:paraId="24FAC1F2" w14:textId="7663C848" w:rsidR="00B52C43" w:rsidRPr="004829F6" w:rsidRDefault="00B52C43" w:rsidP="00B52C43">
      <w:pPr>
        <w:pStyle w:val="NormalHuge"/>
      </w:pPr>
      <w:r w:rsidRPr="004829F6">
        <w:t xml:space="preserve">Le Mandant autorise la </w:t>
      </w:r>
      <w:r w:rsidRPr="004829F6">
        <w:rPr>
          <w:caps/>
        </w:rPr>
        <w:t xml:space="preserve">BANQUE </w:t>
      </w:r>
      <w:r w:rsidRPr="004829F6">
        <w:t>à prélever les sommes ainsi déterminées sur les disponibilités figurant sur son compte géré ou, à défaut, sur son compte principal.</w:t>
      </w:r>
    </w:p>
    <w:p w14:paraId="6D077BDF" w14:textId="41372B15" w:rsidR="004B3812" w:rsidRPr="004829F6" w:rsidRDefault="004B3812" w:rsidP="004B3812">
      <w:pPr>
        <w:pStyle w:val="NormalHuge"/>
      </w:pPr>
      <w:r w:rsidRPr="004829F6">
        <w:t>Les tarifs applicables peuvent être modifiés par la BANQUE sous réserve d’un préavis de trois mois avant la date</w:t>
      </w:r>
      <w:r w:rsidR="00326354" w:rsidRPr="004829F6">
        <w:t xml:space="preserve"> </w:t>
      </w:r>
      <w:r w:rsidRPr="004829F6">
        <w:t>d’application envisagée. Ces nouveaux tarifs seront adressés par lettre valant avenant au Mandant. L’absence de</w:t>
      </w:r>
      <w:r w:rsidR="00326354" w:rsidRPr="004829F6">
        <w:t xml:space="preserve"> </w:t>
      </w:r>
      <w:r w:rsidRPr="004829F6">
        <w:t>contestation ou de retour de sa part de la lettre signée par ses soins dans un délai de deux mois après cette</w:t>
      </w:r>
      <w:r w:rsidR="00326354" w:rsidRPr="004829F6">
        <w:t xml:space="preserve"> </w:t>
      </w:r>
      <w:r w:rsidRPr="004829F6">
        <w:t>communication vaut acceptation du nouveau tarif.</w:t>
      </w:r>
    </w:p>
    <w:p w14:paraId="13E40E6A" w14:textId="77777777" w:rsidR="00DB7096" w:rsidRPr="004829F6" w:rsidRDefault="00B52C43" w:rsidP="00B52C43">
      <w:pPr>
        <w:pStyle w:val="NormalHuge"/>
      </w:pPr>
      <w:r w:rsidRPr="004829F6">
        <w:t>La BANQUE apportera toute réponse utile aux interrogations du Mandant relatives aux frais ou commissions à la charge de ce dernier.</w:t>
      </w:r>
    </w:p>
    <w:p w14:paraId="2F09AD55" w14:textId="27E37D7A" w:rsidR="003F3859" w:rsidRPr="004829F6" w:rsidRDefault="003F3859" w:rsidP="00B52C43">
      <w:pPr>
        <w:pStyle w:val="NormalHuge"/>
      </w:pPr>
      <w:r w:rsidRPr="004829F6">
        <w:t>Conformément à l’article L</w:t>
      </w:r>
      <w:r w:rsidR="00E264C5" w:rsidRPr="004829F6">
        <w:t xml:space="preserve"> </w:t>
      </w:r>
      <w:r w:rsidRPr="004829F6">
        <w:t xml:space="preserve">533-12-3 du code monétaire et financier, la </w:t>
      </w:r>
      <w:r w:rsidR="00E264C5" w:rsidRPr="004829F6">
        <w:t xml:space="preserve">BANQUE </w:t>
      </w:r>
      <w:r w:rsidRPr="004829F6">
        <w:t>mandataire s’interdit de recevoir des commissions des sociétés de gestion au titre des rémunérations ou de bénéficier d’avantages perçus dans le cadre de la commercialisation d</w:t>
      </w:r>
      <w:r w:rsidR="002B4162" w:rsidRPr="004829F6">
        <w:t xml:space="preserve">es instruments financiers </w:t>
      </w:r>
      <w:r w:rsidRPr="004829F6">
        <w:t>détenus dans les portefeuilles en gestion sous mandat.</w:t>
      </w:r>
    </w:p>
    <w:p w14:paraId="5D51779A" w14:textId="789A0D46" w:rsidR="004B3812" w:rsidRPr="004829F6" w:rsidRDefault="004B3812" w:rsidP="004B3812">
      <w:pPr>
        <w:pStyle w:val="NormalHuge"/>
      </w:pPr>
      <w:r w:rsidRPr="004829F6">
        <w:t>Conformément à la législation en vigueur, le Mandant est informé que la BANQUE est susceptible de bénéficier</w:t>
      </w:r>
      <w:r w:rsidR="00326354" w:rsidRPr="004829F6">
        <w:t xml:space="preserve"> </w:t>
      </w:r>
      <w:r w:rsidRPr="004829F6">
        <w:t>d’avantages non monétaires mineurs à condition que ceux-ci participent à une amélioration de la qualité du service, de</w:t>
      </w:r>
      <w:r w:rsidR="00326354" w:rsidRPr="004829F6">
        <w:t xml:space="preserve"> </w:t>
      </w:r>
      <w:r w:rsidRPr="004829F6">
        <w:t>la part d’entités tierces</w:t>
      </w:r>
    </w:p>
    <w:p w14:paraId="61959795" w14:textId="77777777" w:rsidR="0052784D" w:rsidRPr="004829F6" w:rsidRDefault="0052784D" w:rsidP="00B52C43">
      <w:pPr>
        <w:pStyle w:val="NormalHuge"/>
      </w:pPr>
    </w:p>
    <w:p w14:paraId="214B71E5" w14:textId="2349E3F3" w:rsidR="00DB7096" w:rsidRPr="004829F6" w:rsidRDefault="00326354" w:rsidP="00326354">
      <w:pPr>
        <w:pStyle w:val="Articles"/>
        <w:numPr>
          <w:ilvl w:val="0"/>
          <w:numId w:val="0"/>
        </w:numPr>
      </w:pPr>
      <w:bookmarkStart w:id="4" w:name="_Ref515543438"/>
      <w:bookmarkStart w:id="5" w:name="Article_06"/>
      <w:r w:rsidRPr="004829F6">
        <w:t xml:space="preserve"> Article 8 : </w:t>
      </w:r>
      <w:r w:rsidR="00DB7096" w:rsidRPr="004829F6">
        <w:t>Durée et résiliation du mandat</w:t>
      </w:r>
      <w:bookmarkEnd w:id="4"/>
      <w:bookmarkEnd w:id="5"/>
    </w:p>
    <w:p w14:paraId="665D13C3" w14:textId="757D37AD" w:rsidR="00BD42FD" w:rsidRPr="004829F6" w:rsidRDefault="00BD42FD" w:rsidP="00BD42FD">
      <w:pPr>
        <w:pStyle w:val="NormalHuge"/>
      </w:pPr>
      <w:r w:rsidRPr="004829F6">
        <w:t>Le présent Mandat de gestion produira ses effets</w:t>
      </w:r>
      <w:r w:rsidR="002359FB" w:rsidRPr="004829F6">
        <w:t xml:space="preserve"> à compter de sa signature et</w:t>
      </w:r>
      <w:r w:rsidRPr="004829F6">
        <w:t xml:space="preserve"> jusqu’à dénonciation, par le Mandant ou la BANQUE. Il peut être résilié à tout moment par lettre recommandée avec </w:t>
      </w:r>
      <w:r w:rsidR="00326354" w:rsidRPr="004829F6">
        <w:t xml:space="preserve">accusé </w:t>
      </w:r>
      <w:r w:rsidRPr="004829F6">
        <w:t>de réception.</w:t>
      </w:r>
    </w:p>
    <w:p w14:paraId="1BCC1B2D" w14:textId="15C41C49" w:rsidR="00BD42FD" w:rsidRPr="004829F6" w:rsidRDefault="00BD42FD" w:rsidP="00BD42FD">
      <w:pPr>
        <w:pStyle w:val="NormalHuge"/>
      </w:pPr>
      <w:r w:rsidRPr="004829F6">
        <w:t xml:space="preserve">La </w:t>
      </w:r>
      <w:r w:rsidR="00326354" w:rsidRPr="004829F6">
        <w:t xml:space="preserve">résiliation </w:t>
      </w:r>
      <w:r w:rsidRPr="004829F6">
        <w:t>à l'initiative du Mandant prend effet dès réception de la lettre recommandée par la BANQUE qui cesse alors d'être habilitée à prendre l'initiative de nouvelles opérations.</w:t>
      </w:r>
    </w:p>
    <w:p w14:paraId="003B4014" w14:textId="739BD884" w:rsidR="00BD42FD" w:rsidRPr="004829F6" w:rsidRDefault="00BD42FD" w:rsidP="00BD42FD">
      <w:pPr>
        <w:pStyle w:val="NormalHuge"/>
      </w:pPr>
      <w:r w:rsidRPr="004829F6">
        <w:t xml:space="preserve">La </w:t>
      </w:r>
      <w:r w:rsidR="00326354" w:rsidRPr="004829F6">
        <w:t xml:space="preserve">résiliation </w:t>
      </w:r>
      <w:r w:rsidR="002758BF" w:rsidRPr="004829F6">
        <w:t xml:space="preserve">à l’initiative de </w:t>
      </w:r>
      <w:r w:rsidRPr="004829F6">
        <w:t xml:space="preserve">la BANQUE, prend effet cinq jours de bourse après la signature par le Mandant de l’accusé réception de la lettre recommandée. La BANQUE a connaissance de cette date de signature par retour de </w:t>
      </w:r>
      <w:r w:rsidR="00326354" w:rsidRPr="004829F6">
        <w:t xml:space="preserve">l’accusé </w:t>
      </w:r>
      <w:r w:rsidRPr="004829F6">
        <w:t>de réception de la lettre recommandée.</w:t>
      </w:r>
    </w:p>
    <w:p w14:paraId="7C15F19D" w14:textId="77777777" w:rsidR="00BD42FD" w:rsidRPr="004829F6" w:rsidRDefault="00BD42FD" w:rsidP="00BD42FD">
      <w:pPr>
        <w:pStyle w:val="NormalHuge"/>
      </w:pPr>
      <w:r w:rsidRPr="004829F6">
        <w:t>A la date d’effet de la résiliation, le Mandant assurera lui-même la gestion de son portefeuille à défaut pour lui d’avoir désigné un nouveau mandataire.</w:t>
      </w:r>
    </w:p>
    <w:p w14:paraId="70E316A2" w14:textId="77777777" w:rsidR="00BD42FD" w:rsidRPr="004829F6" w:rsidRDefault="00BD42FD" w:rsidP="00BD42FD">
      <w:pPr>
        <w:pStyle w:val="NormalHuge"/>
      </w:pPr>
      <w:r w:rsidRPr="004829F6">
        <w:t>Au plus tard à la date d'effet de la résiliation, la BANQUE établit un relevé de portefeuille et arrête un compte rendu de gestion faisant apparaître les résultats de la gestion depuis le dernier état du portefeuille.</w:t>
      </w:r>
      <w:r w:rsidR="009A4236" w:rsidRPr="004829F6">
        <w:t xml:space="preserve"> Elle </w:t>
      </w:r>
      <w:r w:rsidR="0022672C" w:rsidRPr="004829F6">
        <w:t xml:space="preserve">donne tous les éclaircissements utiles </w:t>
      </w:r>
      <w:r w:rsidR="00744B57" w:rsidRPr="004829F6">
        <w:t xml:space="preserve">au </w:t>
      </w:r>
      <w:r w:rsidR="0022672C" w:rsidRPr="004829F6">
        <w:t>Mandant sur la nature des positions ouvertes.</w:t>
      </w:r>
    </w:p>
    <w:p w14:paraId="52E84427" w14:textId="77777777" w:rsidR="00BD42FD" w:rsidRPr="004829F6" w:rsidRDefault="00BD42FD" w:rsidP="00BD42FD">
      <w:pPr>
        <w:pStyle w:val="NormalHuge"/>
      </w:pPr>
      <w:r w:rsidRPr="004829F6">
        <w:t xml:space="preserve">Les opérations au comptant en cours seront poursuivies jusqu’à bonne fin et subordonneront la clôture du compte. </w:t>
      </w:r>
    </w:p>
    <w:p w14:paraId="338B7D63" w14:textId="77777777" w:rsidR="00BD42FD" w:rsidRPr="004829F6" w:rsidRDefault="00BD42FD" w:rsidP="00BD42FD">
      <w:pPr>
        <w:pStyle w:val="NormalHuge"/>
      </w:pPr>
      <w:r w:rsidRPr="004829F6">
        <w:t>Pour les opérations non dénouées au jour de la résiliation, le Mandant s’engage à assurer leur dénouement sous sa propre responsabilité.</w:t>
      </w:r>
    </w:p>
    <w:p w14:paraId="0956040D" w14:textId="77777777" w:rsidR="00BD42FD" w:rsidRPr="004829F6" w:rsidRDefault="00BD42FD" w:rsidP="00BD42FD">
      <w:pPr>
        <w:pStyle w:val="NormalHuge"/>
      </w:pPr>
      <w:r w:rsidRPr="004829F6">
        <w:t>A la date d’effet de la dénonciation aucun nouvel acte de gestion ne sera réalisé par la BANQUE. Les actifs seront mis à la disposition du Mandant et virés au crédit du compte qu’il aura désigné.</w:t>
      </w:r>
    </w:p>
    <w:p w14:paraId="43E62C55" w14:textId="77777777" w:rsidR="00BD42FD" w:rsidRPr="004829F6" w:rsidRDefault="00BD42FD" w:rsidP="00BD42FD">
      <w:pPr>
        <w:pStyle w:val="NormalHuge"/>
      </w:pPr>
      <w:r w:rsidRPr="004829F6">
        <w:t>Au cas où le Mandant en ferait la demande expresse, par lettre avec accusé de réception, les actifs seront réalisés au plus tôt et le produit résultant de la vente sera crédité à son compte. Dans ce dernier cas, la BANQUE ne sera pas responsable d’une perte due aux fluctuations des marchés.</w:t>
      </w:r>
    </w:p>
    <w:p w14:paraId="703F88E6" w14:textId="77777777" w:rsidR="00BD42FD" w:rsidRPr="004829F6" w:rsidRDefault="00BD42FD" w:rsidP="00BD42FD">
      <w:pPr>
        <w:pStyle w:val="NormalHuge"/>
      </w:pPr>
      <w:r w:rsidRPr="004829F6">
        <w:t>Toutefois, le présent Mandat continuera de régir les rapports entre les Parties pour toutes transactions en cours à la date d’effet de la résiliation et non encore soldées à cette date, et notamment pour les opérations en cours sur les instruments financiers à terme ou à règlement différé. En vue de la couverture des coûts qui pourraient être induits par le dénouement de ces opérations, la BANQUE est autorisée à conserver une provision suffisante, ce jusqu’au terme de la dernière opération. Dans la mesure où le dénouement de ces opérations générerait un coût non couvert par ladite provision, le Mandant s’engage à rembourser, à première demande, la BANQUE de ce coût.</w:t>
      </w:r>
    </w:p>
    <w:p w14:paraId="5073DF75" w14:textId="77777777" w:rsidR="00BD42FD" w:rsidRPr="004829F6" w:rsidRDefault="00BD42FD" w:rsidP="00BD42FD">
      <w:pPr>
        <w:pStyle w:val="NormalHuge"/>
      </w:pPr>
      <w:r w:rsidRPr="004829F6">
        <w:t>Le Mandant pourra toutefois notifier à la BANQUE son intention de faire son affaire des opérations en cours sur les instruments financiers à terme ou à règlement différé et non encore soldées à la date de la résiliation. Les Parties se concerteront alors sur le moyen de réaliser ce transfert dans les meilleurs délais et de rendre celui-ci opposable aux tiers.</w:t>
      </w:r>
    </w:p>
    <w:p w14:paraId="3AE04131" w14:textId="77777777" w:rsidR="00A55612" w:rsidRDefault="00A55612" w:rsidP="00BD42FD">
      <w:pPr>
        <w:pStyle w:val="NormalHuge"/>
      </w:pPr>
    </w:p>
    <w:p w14:paraId="085067BF" w14:textId="49EA4184" w:rsidR="00BD42FD" w:rsidRPr="004829F6" w:rsidRDefault="00BD42FD" w:rsidP="00BD42FD">
      <w:pPr>
        <w:pStyle w:val="NormalHuge"/>
      </w:pPr>
      <w:r w:rsidRPr="004829F6">
        <w:lastRenderedPageBreak/>
        <w:t>Le Mandat prend fin de plein droit :</w:t>
      </w:r>
    </w:p>
    <w:p w14:paraId="0FA8AE81" w14:textId="77777777" w:rsidR="00BD42FD" w:rsidRPr="004829F6" w:rsidRDefault="00BD42FD" w:rsidP="00E82800">
      <w:pPr>
        <w:pStyle w:val="Puce"/>
      </w:pPr>
      <w:r w:rsidRPr="004829F6">
        <w:t>par la révocation du Mandataire,</w:t>
      </w:r>
    </w:p>
    <w:p w14:paraId="553B5378" w14:textId="77777777" w:rsidR="00BD42FD" w:rsidRPr="004829F6" w:rsidRDefault="00BD42FD" w:rsidP="00E82800">
      <w:pPr>
        <w:pStyle w:val="Puce"/>
      </w:pPr>
      <w:r w:rsidRPr="004829F6">
        <w:t>par la renonciation de celui-ci au Mandat,</w:t>
      </w:r>
    </w:p>
    <w:p w14:paraId="5FFDFCCE" w14:textId="77777777" w:rsidR="00BD42FD" w:rsidRPr="004829F6" w:rsidRDefault="00BD42FD" w:rsidP="00E82800">
      <w:pPr>
        <w:pStyle w:val="Puce"/>
      </w:pPr>
      <w:r w:rsidRPr="004829F6">
        <w:t>par liquidation judiciaire de l’une ou l’autre des parties ou du fait du retrait d’agrément ou la radiation du Mandataire,</w:t>
      </w:r>
    </w:p>
    <w:p w14:paraId="2DD85F5A" w14:textId="316286E2" w:rsidR="00BD42FD" w:rsidRPr="004829F6" w:rsidRDefault="00BD42FD" w:rsidP="00E82800">
      <w:pPr>
        <w:pStyle w:val="Puce"/>
      </w:pPr>
      <w:r w:rsidRPr="004829F6">
        <w:t xml:space="preserve">par la dissolution de l’indivision et la disparition du démembrement de propriété du portefeuille d'instruments financiers ainsi que par tout changement modifiant les droits des indivisaires au titre de l’indivision et des </w:t>
      </w:r>
      <w:r w:rsidR="003008E2" w:rsidRPr="004829F6">
        <w:t>nus-propriétaires</w:t>
      </w:r>
      <w:r w:rsidRPr="004829F6">
        <w:t xml:space="preserve"> et usufruitiers en ce qui concerne le démembrement de propriété,</w:t>
      </w:r>
    </w:p>
    <w:p w14:paraId="719607F7" w14:textId="297C5AFB" w:rsidR="004B3812" w:rsidRPr="004829F6" w:rsidRDefault="004B3812" w:rsidP="004B3812">
      <w:pPr>
        <w:pStyle w:val="Puce"/>
      </w:pPr>
      <w:r w:rsidRPr="004829F6">
        <w:t xml:space="preserve">par </w:t>
      </w:r>
      <w:r w:rsidR="00F9549A" w:rsidRPr="004829F6">
        <w:t>le décès ou</w:t>
      </w:r>
      <w:r w:rsidRPr="004829F6">
        <w:t xml:space="preserve"> la </w:t>
      </w:r>
      <w:r w:rsidR="00F9549A" w:rsidRPr="004829F6">
        <w:t xml:space="preserve">mise sous </w:t>
      </w:r>
      <w:r w:rsidR="00A55612">
        <w:t>régime de protection</w:t>
      </w:r>
      <w:r w:rsidRPr="004829F6">
        <w:t xml:space="preserve"> du Mandant</w:t>
      </w:r>
      <w:r w:rsidR="00F9549A" w:rsidRPr="004829F6">
        <w:t xml:space="preserve"> si personne physique</w:t>
      </w:r>
      <w:r w:rsidRPr="004829F6">
        <w:t xml:space="preserve">, </w:t>
      </w:r>
      <w:r w:rsidR="00F9549A" w:rsidRPr="004829F6">
        <w:t xml:space="preserve">ou si personne morale, par la faillite </w:t>
      </w:r>
      <w:r w:rsidRPr="004829F6">
        <w:t xml:space="preserve">du </w:t>
      </w:r>
      <w:r w:rsidR="00F9549A" w:rsidRPr="004829F6">
        <w:t xml:space="preserve">Mandant ou du </w:t>
      </w:r>
      <w:r w:rsidRPr="004829F6">
        <w:t>Mandataire, le changement de</w:t>
      </w:r>
      <w:r w:rsidR="003008E2" w:rsidRPr="004829F6">
        <w:t xml:space="preserve"> </w:t>
      </w:r>
      <w:r w:rsidRPr="004829F6">
        <w:t>capacité du Mandant ou d’un des co-titulaires en cas de compte collectif,</w:t>
      </w:r>
    </w:p>
    <w:p w14:paraId="775472C7" w14:textId="770137BF" w:rsidR="00BD42FD" w:rsidRPr="004829F6" w:rsidRDefault="00BD42FD" w:rsidP="00E82800">
      <w:pPr>
        <w:pStyle w:val="Puce"/>
      </w:pPr>
      <w:r w:rsidRPr="004829F6">
        <w:t>par la clôture du compte titre</w:t>
      </w:r>
      <w:r w:rsidR="00A55612">
        <w:t>s</w:t>
      </w:r>
      <w:r w:rsidRPr="004829F6">
        <w:t>.</w:t>
      </w:r>
    </w:p>
    <w:p w14:paraId="7DC44329" w14:textId="77777777" w:rsidR="00BD42FD" w:rsidRPr="004829F6" w:rsidRDefault="00BD42FD" w:rsidP="00BD42FD">
      <w:pPr>
        <w:pStyle w:val="NormalHuge"/>
      </w:pPr>
      <w:r w:rsidRPr="004829F6">
        <w:t>La résiliation du présent mandat entraînera automatiquement celle des avenants qui pourraient lui être rattachés.</w:t>
      </w:r>
    </w:p>
    <w:p w14:paraId="6D517A4C" w14:textId="77777777" w:rsidR="00BD42FD" w:rsidRPr="004829F6" w:rsidRDefault="00BD42FD" w:rsidP="00BD42FD">
      <w:pPr>
        <w:pStyle w:val="NormalHuge"/>
      </w:pPr>
      <w:r w:rsidRPr="004829F6">
        <w:t>Le Mandant s’engage à informer la BANQUE de tout changement de situation susceptible d’entraîner une modification des conditions d’exercice du Mandat.</w:t>
      </w:r>
    </w:p>
    <w:p w14:paraId="69CD9FEE" w14:textId="22BB26A1" w:rsidR="00BD42FD" w:rsidRPr="004829F6" w:rsidRDefault="00BD42FD" w:rsidP="00BD42FD">
      <w:pPr>
        <w:pStyle w:val="NormalHuge"/>
      </w:pPr>
      <w:r w:rsidRPr="004829F6">
        <w:t xml:space="preserve">Les actes accomplis par la BANQUE, jusqu’à ce qu’elle soit informée des évènements ci-dessus mettant fin de plein droit au Mandat, seront opposables au Mandant ou aux </w:t>
      </w:r>
      <w:r w:rsidR="00A701F6" w:rsidRPr="004829F6">
        <w:t>ayants-droits</w:t>
      </w:r>
      <w:r w:rsidRPr="004829F6">
        <w:t xml:space="preserve">. </w:t>
      </w:r>
    </w:p>
    <w:p w14:paraId="107D6413" w14:textId="2A69A381" w:rsidR="00BD42FD" w:rsidRPr="004829F6" w:rsidRDefault="00BD42FD" w:rsidP="00BD42FD">
      <w:pPr>
        <w:pStyle w:val="NormalHuge"/>
      </w:pPr>
      <w:r w:rsidRPr="004829F6">
        <w:t>En présence d'un compte</w:t>
      </w:r>
      <w:r w:rsidR="002758BF" w:rsidRPr="004829F6">
        <w:t>-</w:t>
      </w:r>
      <w:r w:rsidRPr="004829F6">
        <w:t>joint et en cas de décès de l'un des titulaires, le survivant ou l'un d'entre eux pourra retirer tout ou partie des titres et fonds en dépôt et continuer à faire fonctionner le compte, sauf opposition formée par un ou plusieurs héritiers du co-titulaire décédé. Le Mandat ne prendra fin, par conséquent, que par l'opposition formée par le ou les héritiers du prédécédé. Ces héritiers ne pourront toutefois utiliser le compte qu'après avoir produit un acte de notoriété justifiant de leurs droits, et par instructions unanimes de leur part.</w:t>
      </w:r>
    </w:p>
    <w:p w14:paraId="3574F4FC" w14:textId="77777777" w:rsidR="00BD42FD" w:rsidRPr="004829F6" w:rsidRDefault="00BD42FD" w:rsidP="00BD42FD">
      <w:pPr>
        <w:pStyle w:val="NormalHuge"/>
      </w:pPr>
      <w:r w:rsidRPr="004829F6">
        <w:t>En présence d'un compte indivis et en cas de décès de l'un des titulaires, nonobstant le Mandat consenti, le solde dudit compte deviendra indisponible pour préserver les ayants-droit du défunt.</w:t>
      </w:r>
    </w:p>
    <w:p w14:paraId="62E73758" w14:textId="77777777" w:rsidR="00DB7096" w:rsidRPr="004829F6" w:rsidRDefault="00BD42FD" w:rsidP="00BD42FD">
      <w:pPr>
        <w:pStyle w:val="NormalHuge"/>
      </w:pPr>
      <w:r w:rsidRPr="004829F6">
        <w:t>En présence d'un compte démembré et en cas de décès de l'usufruitier, la pleine propriété dudit compte sera reconstituée sur la tête du nu-propriétaire. Le Mandat de gestion consenti par l'usufruitier prendra ainsi fin. En cas de décès du nu-propriétaire, les héritiers de ce dernier resteront tenus pour les mêmes obligations vis¬-à-¬vis de l'usufruitier. Le Mandat de gestion consenti par le nu-propriétaire ne prendra fin que par l'opposition formée par les héritiers du nu-propriétaire.</w:t>
      </w:r>
    </w:p>
    <w:p w14:paraId="624AE958" w14:textId="77777777" w:rsidR="003008E2" w:rsidRPr="004829F6" w:rsidRDefault="003008E2" w:rsidP="00BD42FD">
      <w:pPr>
        <w:pStyle w:val="NormalHuge"/>
      </w:pPr>
    </w:p>
    <w:p w14:paraId="5B4315F7" w14:textId="66BF7BDB" w:rsidR="00DB7096" w:rsidRPr="004829F6" w:rsidRDefault="003008E2" w:rsidP="003008E2">
      <w:pPr>
        <w:pStyle w:val="Articles"/>
        <w:numPr>
          <w:ilvl w:val="0"/>
          <w:numId w:val="0"/>
        </w:numPr>
      </w:pPr>
      <w:r w:rsidRPr="004829F6">
        <w:t> Article 9 :</w:t>
      </w:r>
      <w:r w:rsidR="00DB7096" w:rsidRPr="004829F6">
        <w:t> Obligations de la Banque</w:t>
      </w:r>
    </w:p>
    <w:p w14:paraId="37AE8D42" w14:textId="31B26541" w:rsidR="00BD42FD" w:rsidRPr="004829F6" w:rsidRDefault="00BD42FD" w:rsidP="00BD42FD">
      <w:pPr>
        <w:pStyle w:val="NormalHuge"/>
      </w:pPr>
      <w:r w:rsidRPr="004829F6">
        <w:t>Dans le respect des lois et des règlements en vigueur, la BANQUE agit conformément aux usages et pratiques de la profession. La BANQUE s'engage à mettre en œuvre les moyens nécessaires à la bonne gestion du portefeuille sous mandat, conformément à l'objectif défini à l'Article 1. Ainsi, elle ne pourra pas être rendue responsable de la diminution éventuelle de la valeur de l'avoir géré. De même, ayant pour mission de gérer le portefeuille dans une optique purement économique, elle ne saurait être tenue responsable des conséquences fiscales de sa gestion, notamment en matière de plus-values.</w:t>
      </w:r>
    </w:p>
    <w:p w14:paraId="3E6DDF5D" w14:textId="77777777" w:rsidR="00BD42FD" w:rsidRPr="004829F6" w:rsidRDefault="00BD42FD" w:rsidP="00BD42FD">
      <w:pPr>
        <w:pStyle w:val="NormalHuge"/>
      </w:pPr>
      <w:r w:rsidRPr="004829F6">
        <w:t>En tout état de cause, le Mandant reconnaît toute liberté à la BANQUE pour l'exécution de l'obligation de moyens mise à sa charge, dans les limites des dispositions des articles 1991 et suivants du code civil.</w:t>
      </w:r>
    </w:p>
    <w:p w14:paraId="181ECA14" w14:textId="77777777" w:rsidR="00BD42FD" w:rsidRPr="004829F6" w:rsidRDefault="00BD42FD" w:rsidP="00BD42FD">
      <w:pPr>
        <w:pStyle w:val="NormalHuge"/>
      </w:pPr>
      <w:r w:rsidRPr="004829F6">
        <w:t>La BANQUE s'engage à gérer selon les usages bancaires et boursiers et selon les règles déontologiques de la profession, les avoirs qui lui sont confiés par le Mandant. La responsabilité de la BANQUE ne pourra pas être recherchée en cas de respect desdites réglementations ou règles qui contreviendraient à une disposition du présent Mandat.</w:t>
      </w:r>
    </w:p>
    <w:p w14:paraId="703B2C31" w14:textId="77777777" w:rsidR="00BD42FD" w:rsidRPr="004829F6" w:rsidRDefault="00BD42FD" w:rsidP="00BD42FD">
      <w:pPr>
        <w:pStyle w:val="NormalHuge"/>
      </w:pPr>
      <w:r w:rsidRPr="004829F6">
        <w:t>La BANQUE pourra, dans le cadre du présent Mandat de gestion, passer des Ordres à Service de Règlement Différé dans le cadre défini par les règles de marché concerné.</w:t>
      </w:r>
    </w:p>
    <w:p w14:paraId="291B4638" w14:textId="24C111FD" w:rsidR="00BD42FD" w:rsidRPr="004829F6" w:rsidRDefault="00BD42FD" w:rsidP="00BD42FD">
      <w:pPr>
        <w:pStyle w:val="NormalHuge"/>
      </w:pPr>
      <w:r w:rsidRPr="004829F6">
        <w:t xml:space="preserve">La BANQUE s’engage à réaliser de manière équitable les opérations de gestion entre les différents comptes gérés en fonction des opportunités d'investissement et conformément à </w:t>
      </w:r>
      <w:r w:rsidR="00F9549A" w:rsidRPr="004829F6">
        <w:t>s</w:t>
      </w:r>
      <w:r w:rsidRPr="004829F6">
        <w:t>a politique de gestion des conflits d’intérêts</w:t>
      </w:r>
      <w:r w:rsidR="00F9549A" w:rsidRPr="004829F6">
        <w:t xml:space="preserve"> disponible sur son site internet</w:t>
      </w:r>
      <w:r w:rsidRPr="004829F6">
        <w:t>.</w:t>
      </w:r>
    </w:p>
    <w:p w14:paraId="166193E9" w14:textId="77777777" w:rsidR="00BD42FD" w:rsidRPr="004829F6" w:rsidRDefault="00BD42FD" w:rsidP="00BD42FD">
      <w:pPr>
        <w:pStyle w:val="NormalHuge"/>
      </w:pPr>
      <w:r w:rsidRPr="004829F6">
        <w:t>La BANQUE ne pourra pas être tenue pour responsable d'aucune perte ou manquement dans l'accomplissement de ses obligations ayant pour cause la survenance d'un cas de force majeure telle que définie par les Cours et les Tribunaux français.</w:t>
      </w:r>
    </w:p>
    <w:p w14:paraId="387402A6" w14:textId="66E541E1" w:rsidR="00BD42FD" w:rsidRPr="004829F6" w:rsidRDefault="00BD42FD" w:rsidP="00BD42FD">
      <w:pPr>
        <w:pStyle w:val="NormalHuge"/>
      </w:pPr>
      <w:r w:rsidRPr="004829F6">
        <w:lastRenderedPageBreak/>
        <w:t xml:space="preserve">La BANQUE ne pourra pas être tenue d'aucune conséquence pouvant résulter, le cas échéant, d'une rupture dans les moyens de transmission des ordres utilisés entre elle-même et un marché sur lequel l'Ordre </w:t>
      </w:r>
      <w:r w:rsidR="00760071" w:rsidRPr="004829F6">
        <w:t>e</w:t>
      </w:r>
      <w:r w:rsidRPr="004829F6">
        <w:t>st présenté.</w:t>
      </w:r>
    </w:p>
    <w:p w14:paraId="55966C33" w14:textId="77777777" w:rsidR="00BD42FD" w:rsidRPr="004829F6" w:rsidRDefault="00BD42FD" w:rsidP="00BD42FD">
      <w:pPr>
        <w:pStyle w:val="NormalHuge"/>
      </w:pPr>
      <w:r w:rsidRPr="004829F6">
        <w:t>On entend par « Ordre » tout ordre de mouvement : ordres d’achat et de vente, de retrait ou de dépôt.</w:t>
      </w:r>
    </w:p>
    <w:p w14:paraId="06C1CED3" w14:textId="77777777" w:rsidR="00DB7096" w:rsidRPr="004829F6" w:rsidRDefault="00BD42FD" w:rsidP="00BD42FD">
      <w:pPr>
        <w:pStyle w:val="NormalHuge"/>
      </w:pPr>
      <w:r w:rsidRPr="004829F6">
        <w:t>Pour les cas où la BANQUE communique certaines informations au Mandant par voie électronique, la BANQUE s'engage à satisfaire à son obligation en toutes circonstances. Si cette communication s'avère impossible, pour quelque cause que ce soit, la BANQUE s'engage à informer exceptionnellement le Mandant par écrit.</w:t>
      </w:r>
    </w:p>
    <w:p w14:paraId="13AA1302" w14:textId="77777777" w:rsidR="00EB52B8" w:rsidRPr="004829F6" w:rsidRDefault="00EB52B8" w:rsidP="00BD42FD">
      <w:pPr>
        <w:pStyle w:val="NormalHuge"/>
      </w:pPr>
    </w:p>
    <w:p w14:paraId="54283683" w14:textId="358C8768" w:rsidR="00DB7096" w:rsidRPr="004829F6" w:rsidRDefault="00760071" w:rsidP="00760071">
      <w:pPr>
        <w:pStyle w:val="Articles"/>
        <w:numPr>
          <w:ilvl w:val="0"/>
          <w:numId w:val="0"/>
        </w:numPr>
      </w:pPr>
      <w:r w:rsidRPr="004829F6">
        <w:t> Article 10 :</w:t>
      </w:r>
      <w:r w:rsidR="00DB7096" w:rsidRPr="004829F6">
        <w:t> Meilleur exécution et politique de sélection des intermédiaires financiers</w:t>
      </w:r>
    </w:p>
    <w:p w14:paraId="119E1725" w14:textId="7F2DF084" w:rsidR="000C4004" w:rsidRPr="004829F6" w:rsidRDefault="000C4004" w:rsidP="000C4004">
      <w:pPr>
        <w:pStyle w:val="NormalHuge"/>
      </w:pPr>
      <w:r w:rsidRPr="004829F6">
        <w:t xml:space="preserve">La BANQUE a défini et met en </w:t>
      </w:r>
      <w:r w:rsidR="004A32B2" w:rsidRPr="004829F6">
        <w:t>œuvre</w:t>
      </w:r>
      <w:r w:rsidRPr="004829F6">
        <w:t xml:space="preserve"> une politique d’exécution des ordres sur instruments financiers qui lui permet</w:t>
      </w:r>
      <w:r w:rsidR="00760071" w:rsidRPr="004829F6">
        <w:t xml:space="preserve"> </w:t>
      </w:r>
      <w:r w:rsidRPr="004829F6">
        <w:t>d’obtenir, pour les ordres reçus du Mandant compte tenu du prix, du coût, de la rapidité, de la probabilité d’exécution</w:t>
      </w:r>
      <w:r w:rsidR="00760071" w:rsidRPr="004829F6">
        <w:t xml:space="preserve"> </w:t>
      </w:r>
      <w:r w:rsidRPr="004829F6">
        <w:t>et du règlement, de la taille, de la nature de l’ordre ou de toutes autres considérations relatives à l’exécution de l’ordre,</w:t>
      </w:r>
      <w:r w:rsidR="00760071" w:rsidRPr="004829F6">
        <w:t xml:space="preserve"> </w:t>
      </w:r>
      <w:r w:rsidRPr="004829F6">
        <w:t>le meilleur résultat possible dans le respect des obligations légales et réglementaires. Cette politique, déclinée par les</w:t>
      </w:r>
      <w:r w:rsidR="00760071" w:rsidRPr="004829F6">
        <w:t xml:space="preserve"> </w:t>
      </w:r>
      <w:r w:rsidRPr="004829F6">
        <w:t>intermédiaires qu’elle a sélectionnés, et qui sont KEPLER CHEUVREUX et ODDO BHF, s’applique à l’ensemble de la clientèle</w:t>
      </w:r>
      <w:r w:rsidR="00760071" w:rsidRPr="004829F6">
        <w:t xml:space="preserve"> </w:t>
      </w:r>
      <w:r w:rsidRPr="004829F6">
        <w:t>catégorisée comme Non professionnelle, Professionnelle. L'intermédiaire sélectionné a la faculté de transmettre l’ordre à</w:t>
      </w:r>
      <w:r w:rsidR="00760071" w:rsidRPr="004829F6">
        <w:t xml:space="preserve"> </w:t>
      </w:r>
      <w:r w:rsidRPr="004829F6">
        <w:t>un autre intermédiaire en vue de son exécution.</w:t>
      </w:r>
    </w:p>
    <w:p w14:paraId="66DFC85A" w14:textId="00C5A0FE" w:rsidR="000C4004" w:rsidRPr="004829F6" w:rsidRDefault="000C4004" w:rsidP="000C4004">
      <w:pPr>
        <w:pStyle w:val="NormalHuge"/>
      </w:pPr>
      <w:r w:rsidRPr="004829F6">
        <w:t>La BANQUE et les intermédiaires qu’elle aura sélectionnés prendront toutes les mesures raisonnables afin de remplir leur</w:t>
      </w:r>
      <w:r w:rsidR="00760071" w:rsidRPr="004829F6">
        <w:t xml:space="preserve"> </w:t>
      </w:r>
      <w:r w:rsidRPr="004829F6">
        <w:t>obligation de meilleure exécution. Cette politique d’exécution prévoit une sélection, par classe d’instruments financiers</w:t>
      </w:r>
      <w:r w:rsidR="00760071" w:rsidRPr="004829F6">
        <w:t xml:space="preserve"> </w:t>
      </w:r>
      <w:r w:rsidRPr="004829F6">
        <w:t xml:space="preserve">(actions, </w:t>
      </w:r>
      <w:r w:rsidR="00A701F6" w:rsidRPr="004829F6">
        <w:t>obligations...</w:t>
      </w:r>
      <w:r w:rsidRPr="004829F6">
        <w:t>), des entités auprès desquelles les ordres du Mandant sont transmis pour exécution.</w:t>
      </w:r>
    </w:p>
    <w:p w14:paraId="459254AF" w14:textId="5378410B" w:rsidR="000C4004" w:rsidRPr="004829F6" w:rsidRDefault="000C4004" w:rsidP="000C4004">
      <w:pPr>
        <w:pStyle w:val="NormalHuge"/>
      </w:pPr>
      <w:r w:rsidRPr="004829F6">
        <w:t>Cet engagement de prendre toutes les mesures raisonnables pour réaliser la meilleure exécution possible ne signifie pas</w:t>
      </w:r>
      <w:r w:rsidR="00760071" w:rsidRPr="004829F6">
        <w:t xml:space="preserve"> </w:t>
      </w:r>
      <w:r w:rsidRPr="004829F6">
        <w:t>que la BANQUE est tenue d’une obligation de résultat. Elle est soumise à une obligation de moyens, qui ne peut en aucun</w:t>
      </w:r>
      <w:r w:rsidR="00760071" w:rsidRPr="004829F6">
        <w:t xml:space="preserve"> </w:t>
      </w:r>
      <w:r w:rsidRPr="004829F6">
        <w:t>cas aller au-delà des obligations légales et réglementaires.</w:t>
      </w:r>
    </w:p>
    <w:p w14:paraId="2715235B" w14:textId="11855F98" w:rsidR="000C4004" w:rsidRPr="004829F6" w:rsidRDefault="000C4004" w:rsidP="000C4004">
      <w:pPr>
        <w:pStyle w:val="NormalHuge"/>
      </w:pPr>
      <w:r w:rsidRPr="004829F6">
        <w:t>Sur sa demande, le Mandant recevra toute information utile sur la politique de sélection. Celle-ci est également</w:t>
      </w:r>
      <w:r w:rsidR="00760071" w:rsidRPr="004829F6">
        <w:t xml:space="preserve"> </w:t>
      </w:r>
      <w:r w:rsidRPr="004829F6">
        <w:t>disponible sur le site de la BANQUE.</w:t>
      </w:r>
    </w:p>
    <w:p w14:paraId="48D6D98A" w14:textId="77777777" w:rsidR="000C4004" w:rsidRPr="004829F6" w:rsidRDefault="000C4004" w:rsidP="00BD42FD">
      <w:pPr>
        <w:pStyle w:val="NormalHuge"/>
      </w:pPr>
    </w:p>
    <w:p w14:paraId="7EA7EACC" w14:textId="77777777" w:rsidR="00EB52B8" w:rsidRPr="004829F6" w:rsidRDefault="00EB52B8" w:rsidP="00BD42FD">
      <w:pPr>
        <w:pStyle w:val="NormalHuge"/>
      </w:pPr>
    </w:p>
    <w:p w14:paraId="2283DF7D" w14:textId="49F3742D" w:rsidR="00DB7096" w:rsidRPr="004829F6" w:rsidRDefault="004A32B2" w:rsidP="004A32B2">
      <w:pPr>
        <w:pStyle w:val="Articles"/>
        <w:numPr>
          <w:ilvl w:val="0"/>
          <w:numId w:val="0"/>
        </w:numPr>
      </w:pPr>
      <w:r w:rsidRPr="004829F6">
        <w:t> Article 11 :</w:t>
      </w:r>
      <w:r w:rsidR="00DB7096" w:rsidRPr="004829F6">
        <w:t> Obligations du mandant</w:t>
      </w:r>
    </w:p>
    <w:p w14:paraId="382185AB" w14:textId="77777777" w:rsidR="00BD42FD" w:rsidRPr="004829F6" w:rsidRDefault="00BD42FD" w:rsidP="00BD42FD">
      <w:pPr>
        <w:pStyle w:val="NormalHuge"/>
      </w:pPr>
      <w:r w:rsidRPr="004829F6">
        <w:t>Si le Mandat autorise les opérations sur les marchés à terme ou conditionnels ou à effet de levier, le Mandant s’engage à prendre connaissance du caractère spécifique de ces opérations et l'étendue des risques qui en découlent.</w:t>
      </w:r>
    </w:p>
    <w:p w14:paraId="7911C0FE" w14:textId="6E5A539A" w:rsidR="00BD42FD" w:rsidRPr="004829F6" w:rsidRDefault="00BD42FD" w:rsidP="00BD42FD">
      <w:pPr>
        <w:pStyle w:val="NormalHuge"/>
      </w:pPr>
      <w:r w:rsidRPr="004829F6">
        <w:t>L'attention du Mandant est attirée sur le fait qu'il lui appartient, dans le cadre du fonctionnement de son ou ses comptes, de satisfaire aux différentes obligations légales et réglementaires en vigueur qui lui incombent, notamment en matière de fiscalité, douane et réglementation financière avec l'étranger. Il s'engage à prévenir la BANQUE en cas de changement de sa situation modifiant sa capacité juridique ou à apprécier les caractéristiques des opérations faisant l'objet du Mandat et les risques particuliers que ces opérations peuvent comporter. La BANQUE ne peut en aucun cas être déclarée responsable au cas où elle n'aurait été avisée d'aucun changement et dans le cas où il y aurait infraction vis-à-vis du pays de résidence.</w:t>
      </w:r>
    </w:p>
    <w:p w14:paraId="3925C23D" w14:textId="77777777" w:rsidR="00BD42FD" w:rsidRPr="004829F6" w:rsidRDefault="00BD42FD" w:rsidP="00BD42FD">
      <w:pPr>
        <w:pStyle w:val="NormalHuge"/>
      </w:pPr>
      <w:r w:rsidRPr="004829F6">
        <w:t>Le Mandant s’engage à informer la BANQUE de son intention de réduire le montant de ses investissements, afin qu’elle puisse le prendre en compte et adapter sa politique de gestion en conséquence.</w:t>
      </w:r>
    </w:p>
    <w:p w14:paraId="789982A3" w14:textId="77777777" w:rsidR="00BD42FD" w:rsidRPr="004829F6" w:rsidRDefault="00BD42FD" w:rsidP="00BD42FD">
      <w:pPr>
        <w:pStyle w:val="NormalHuge"/>
      </w:pPr>
      <w:r w:rsidRPr="004829F6">
        <w:t>Le Mandant s’engage à ne pas constituer, sur les actifs sous gestion ni sur le Compte, un nantissement, privilège ou autre garantie de quelque nature que ce soit en faveur de tout tiers au présent Mandat sans en aviser préalablement pour accord la BANQUE. En cas de saisie des actifs sous gestion, le Mandant s’engage à en informer la BANQUE dans les 24 heures. L’exécution du Mandat sera suspendue jusqu’à la notification à la BANQUE de la mainlevée de la saisie. En tout état de cause, le tiers saisissant ne bénéficie pas d’un droit de demander la poursuite du présent Mandat.</w:t>
      </w:r>
    </w:p>
    <w:p w14:paraId="3435974F" w14:textId="77777777" w:rsidR="00BD42FD" w:rsidRPr="004829F6" w:rsidRDefault="00BD42FD" w:rsidP="00BD42FD">
      <w:pPr>
        <w:pStyle w:val="NormalHuge"/>
      </w:pPr>
      <w:r w:rsidRPr="004829F6">
        <w:t>Le Mandant s'engage à observer les réglementations françaises et étrangères qui lui sont applicables ou qui sont applicables à la Convention. Il s'engage également à informer la BANQUE de tout événement pouvant substantiellement affecter sa capacité financière. Il adressera à la BANQUE tous les éléments susceptibles de rendre compte de sa situation financière et notamment ses comptes sociaux le cas échéant.</w:t>
      </w:r>
    </w:p>
    <w:p w14:paraId="06FA815A" w14:textId="758637BD" w:rsidR="00DB7096" w:rsidRPr="004829F6" w:rsidRDefault="00BD42FD" w:rsidP="00BD42FD">
      <w:pPr>
        <w:pStyle w:val="NormalHuge"/>
      </w:pPr>
      <w:r w:rsidRPr="004829F6">
        <w:t>Sans préjudice de l’</w:t>
      </w:r>
      <w:r w:rsidR="00BE2927" w:rsidRPr="004829F6">
        <w:t>A</w:t>
      </w:r>
      <w:r w:rsidRPr="004829F6">
        <w:t xml:space="preserve">rticle </w:t>
      </w:r>
      <w:r w:rsidR="00BE2927" w:rsidRPr="004829F6">
        <w:t>2</w:t>
      </w:r>
      <w:r w:rsidR="00F9549A" w:rsidRPr="004829F6">
        <w:t>2</w:t>
      </w:r>
      <w:r w:rsidRPr="004829F6">
        <w:t xml:space="preserve">, il est convenu qu'en cas de désaccord du Mandant sur la gestion de la BANQUE en application des présentes, seule pourrait intervenir une dénonciation du présent Mandat, notifiée conformément aux dispositions de l'Article </w:t>
      </w:r>
      <w:r w:rsidR="00F9549A" w:rsidRPr="004829F6">
        <w:t>8</w:t>
      </w:r>
      <w:r w:rsidRPr="004829F6">
        <w:t>.</w:t>
      </w:r>
    </w:p>
    <w:p w14:paraId="1A462918" w14:textId="77777777" w:rsidR="00EB52B8" w:rsidRPr="004829F6" w:rsidRDefault="00EB52B8" w:rsidP="00BD42FD">
      <w:pPr>
        <w:pStyle w:val="NormalHuge"/>
      </w:pPr>
    </w:p>
    <w:p w14:paraId="53411064" w14:textId="05CA193B" w:rsidR="00DB7096" w:rsidRPr="004829F6" w:rsidRDefault="00722FDE" w:rsidP="00722FDE">
      <w:pPr>
        <w:pStyle w:val="Articles"/>
        <w:numPr>
          <w:ilvl w:val="0"/>
          <w:numId w:val="0"/>
        </w:numPr>
      </w:pPr>
      <w:r w:rsidRPr="004829F6">
        <w:lastRenderedPageBreak/>
        <w:t> Article 12 :</w:t>
      </w:r>
      <w:r w:rsidR="00DB7096" w:rsidRPr="004829F6">
        <w:t> Modifications du Mandat</w:t>
      </w:r>
    </w:p>
    <w:p w14:paraId="021EBD19" w14:textId="021A3A70" w:rsidR="00BD42FD" w:rsidRPr="007A6C1F" w:rsidRDefault="00BD42FD" w:rsidP="00BD42FD">
      <w:pPr>
        <w:pStyle w:val="NormalHuge"/>
        <w:rPr>
          <w:szCs w:val="18"/>
        </w:rPr>
      </w:pPr>
      <w:r w:rsidRPr="007A6C1F">
        <w:rPr>
          <w:szCs w:val="18"/>
        </w:rPr>
        <w:t>Toutes mesures législatives ou réglementaires qui rendraient nécessaires la modification de tout ou partie du présent Mandat sont applicables dès la date d’entrée en vigueur. Par ailleurs, la BANQUE, en cas d’évolution de ses services objets du présent Mandat, autres que celles concernant la rémunération dont le régime est précisé à l’</w:t>
      </w:r>
      <w:r w:rsidR="001B1A85" w:rsidRPr="007A6C1F">
        <w:rPr>
          <w:szCs w:val="18"/>
        </w:rPr>
        <w:t>A</w:t>
      </w:r>
      <w:r w:rsidRPr="007A6C1F">
        <w:rPr>
          <w:szCs w:val="18"/>
        </w:rPr>
        <w:t xml:space="preserve">rticle </w:t>
      </w:r>
      <w:r w:rsidR="00F9549A" w:rsidRPr="007A6C1F">
        <w:rPr>
          <w:szCs w:val="18"/>
        </w:rPr>
        <w:t>8</w:t>
      </w:r>
      <w:r w:rsidRPr="007A6C1F">
        <w:rPr>
          <w:szCs w:val="18"/>
        </w:rPr>
        <w:t>, est susceptible d’apporter à ce Mandat des modifications le cas échéant substantielles. Celles-ci seront portées à la connaissance du Mandant par voie de lettre circulaire ou tout autre document d’information le cas échéant adressé par voie télématique.</w:t>
      </w:r>
    </w:p>
    <w:p w14:paraId="704929B7" w14:textId="74293A84" w:rsidR="00DB7096" w:rsidRPr="007A6C1F" w:rsidRDefault="00BD42FD" w:rsidP="00BD42FD">
      <w:pPr>
        <w:pStyle w:val="NormalHuge"/>
        <w:rPr>
          <w:szCs w:val="18"/>
        </w:rPr>
      </w:pPr>
      <w:r w:rsidRPr="007A6C1F">
        <w:rPr>
          <w:szCs w:val="18"/>
        </w:rPr>
        <w:t>Ces modifications seront opposables au Mandant, en l’absence de contestation un mois après leur no</w:t>
      </w:r>
      <w:r w:rsidR="00FC6EE8" w:rsidRPr="007A6C1F">
        <w:rPr>
          <w:szCs w:val="18"/>
        </w:rPr>
        <w:t>tification. En cas de refus du C</w:t>
      </w:r>
      <w:r w:rsidRPr="007A6C1F">
        <w:rPr>
          <w:szCs w:val="18"/>
        </w:rPr>
        <w:t xml:space="preserve">lient d’accepter les modifications, notifié par écrit, la BANQUE pourra procéder sans frais à la résiliation du Mandat selon les modalités prévues à l’Article </w:t>
      </w:r>
      <w:r w:rsidR="00FB1FDE" w:rsidRPr="007A6C1F">
        <w:rPr>
          <w:szCs w:val="18"/>
        </w:rPr>
        <w:t>8</w:t>
      </w:r>
      <w:r w:rsidRPr="007A6C1F">
        <w:rPr>
          <w:szCs w:val="18"/>
        </w:rPr>
        <w:t>.</w:t>
      </w:r>
    </w:p>
    <w:p w14:paraId="10A331CC" w14:textId="77777777" w:rsidR="00EB52B8" w:rsidRPr="004829F6" w:rsidRDefault="00EB52B8" w:rsidP="00BD42FD">
      <w:pPr>
        <w:pStyle w:val="NormalHuge"/>
      </w:pPr>
    </w:p>
    <w:p w14:paraId="41D2562E" w14:textId="52A71442" w:rsidR="00DB7096" w:rsidRPr="004829F6" w:rsidRDefault="00722FDE" w:rsidP="00722FDE">
      <w:pPr>
        <w:pStyle w:val="Articles"/>
        <w:numPr>
          <w:ilvl w:val="0"/>
          <w:numId w:val="0"/>
        </w:numPr>
      </w:pPr>
      <w:r w:rsidRPr="004829F6">
        <w:t> Article 13 :</w:t>
      </w:r>
      <w:r w:rsidR="00DB7096" w:rsidRPr="004829F6">
        <w:t> Déclarations des Parties</w:t>
      </w:r>
    </w:p>
    <w:p w14:paraId="3D41077D" w14:textId="77777777" w:rsidR="00BD42FD" w:rsidRPr="004829F6" w:rsidRDefault="00BD42FD" w:rsidP="00BD42FD">
      <w:r w:rsidRPr="004829F6">
        <w:t>Le Mandant déclare :</w:t>
      </w:r>
    </w:p>
    <w:p w14:paraId="02C92C04" w14:textId="77777777" w:rsidR="00BD42FD" w:rsidRPr="004829F6" w:rsidRDefault="00BD42FD" w:rsidP="00E63A0A">
      <w:pPr>
        <w:pStyle w:val="Puce"/>
        <w:jc w:val="both"/>
      </w:pPr>
      <w:r w:rsidRPr="004829F6">
        <w:t>Que la conclusion et l’exécution du présent Mandat et de toute opération s’y rapportant ne contreviennent à aucune disposition des lois, décrets, règlements, statuts, autres documents constitutifs et, plus généralement, tous autres textes qui lui sont applicables ;</w:t>
      </w:r>
    </w:p>
    <w:p w14:paraId="7AAA549D" w14:textId="77777777" w:rsidR="00BD42FD" w:rsidRPr="004829F6" w:rsidRDefault="00BD42FD" w:rsidP="00E63A0A">
      <w:pPr>
        <w:pStyle w:val="Puce"/>
        <w:jc w:val="both"/>
      </w:pPr>
      <w:r w:rsidRPr="004829F6">
        <w:t>Que le ou les signataires du présent Mandat ont tout pouvoir et capacité pour conclure, au nom du Mandant, le Mandat et tout avenant s’y rapportant ;</w:t>
      </w:r>
    </w:p>
    <w:p w14:paraId="737D0FF5" w14:textId="77777777" w:rsidR="00BD42FD" w:rsidRPr="004829F6" w:rsidRDefault="00BD42FD" w:rsidP="00E82800">
      <w:pPr>
        <w:pStyle w:val="Puce"/>
      </w:pPr>
      <w:r w:rsidRPr="004829F6">
        <w:t>Qu’à sa connaissance, aucune procédure judiciaire n’est en cours ou est pendante à son encontre, susceptible de l’empêcher d’exécuter le Mandat ;</w:t>
      </w:r>
    </w:p>
    <w:p w14:paraId="7018649F" w14:textId="77777777" w:rsidR="00CF382D" w:rsidRPr="004829F6" w:rsidRDefault="00BD42FD" w:rsidP="00800D1E">
      <w:pPr>
        <w:pStyle w:val="Puce"/>
        <w:numPr>
          <w:ilvl w:val="0"/>
          <w:numId w:val="0"/>
        </w:numPr>
      </w:pPr>
      <w:r w:rsidRPr="004829F6">
        <w:t>Qu'il informera immédiatement la BANQUE de toute cessation ou de toute modification des pouvoirs précédemment donnés à son, ou ses, représentant(s) ayant signé le Mandat. De manière plus générale, dès lors que l’une des déclarations précédentes cesserait d’être exacte, le Mandant déclare qu'il en informera sans délai la BANQUE.</w:t>
      </w:r>
      <w:r w:rsidR="001A2F8D" w:rsidRPr="004829F6">
        <w:t xml:space="preserve"> </w:t>
      </w:r>
    </w:p>
    <w:p w14:paraId="0E9AD020" w14:textId="65AB1A2F" w:rsidR="00BD42FD" w:rsidRPr="004829F6" w:rsidRDefault="00BD42FD" w:rsidP="00800D1E">
      <w:pPr>
        <w:pStyle w:val="Puce"/>
        <w:numPr>
          <w:ilvl w:val="0"/>
          <w:numId w:val="0"/>
        </w:numPr>
      </w:pPr>
      <w:r w:rsidRPr="004829F6">
        <w:t>La BANQUE déclare :</w:t>
      </w:r>
    </w:p>
    <w:p w14:paraId="642F1EC2" w14:textId="77777777" w:rsidR="00BD42FD" w:rsidRPr="004829F6" w:rsidRDefault="00BD42FD" w:rsidP="00E82800">
      <w:pPr>
        <w:pStyle w:val="Puce"/>
      </w:pPr>
      <w:r w:rsidRPr="004829F6">
        <w:t>Qu’elle est une société régulièrement constituée au regard du droit français et valablement habilitée à exercer son activité en application de son agrément ;</w:t>
      </w:r>
    </w:p>
    <w:p w14:paraId="7EBBEF16" w14:textId="77777777" w:rsidR="00BD42FD" w:rsidRPr="004829F6" w:rsidRDefault="00BD42FD" w:rsidP="00E82800">
      <w:pPr>
        <w:pStyle w:val="Puce"/>
      </w:pPr>
      <w:r w:rsidRPr="004829F6">
        <w:t>Qu’à sa connaissance, aucune procédure judiciaire n’est en cours ou est pendante à son encontre, susceptible de l’empêcher d’exécuter le Mandat.</w:t>
      </w:r>
    </w:p>
    <w:p w14:paraId="5FBA1BCD" w14:textId="77777777" w:rsidR="00EB52B8" w:rsidRPr="004829F6" w:rsidRDefault="00EB52B8" w:rsidP="00EB52B8">
      <w:pPr>
        <w:pStyle w:val="Puce"/>
        <w:numPr>
          <w:ilvl w:val="0"/>
          <w:numId w:val="0"/>
        </w:numPr>
        <w:ind w:left="284"/>
      </w:pPr>
    </w:p>
    <w:p w14:paraId="0AD00D71" w14:textId="342D7B46" w:rsidR="00DB7096" w:rsidRPr="004829F6" w:rsidRDefault="00722FDE" w:rsidP="00722FDE">
      <w:pPr>
        <w:pStyle w:val="Articles"/>
        <w:numPr>
          <w:ilvl w:val="0"/>
          <w:numId w:val="0"/>
        </w:numPr>
      </w:pPr>
      <w:r w:rsidRPr="004829F6">
        <w:t> Article 14 :</w:t>
      </w:r>
      <w:r w:rsidR="00DB7096" w:rsidRPr="004829F6">
        <w:t> Documents à fournir</w:t>
      </w:r>
    </w:p>
    <w:p w14:paraId="6AA051A2" w14:textId="77777777" w:rsidR="00BD42FD" w:rsidRPr="004829F6" w:rsidRDefault="00BD42FD" w:rsidP="00BD42FD">
      <w:pPr>
        <w:pStyle w:val="NormalHuge"/>
      </w:pPr>
      <w:r w:rsidRPr="004829F6">
        <w:t>Le présent Mandat prendra effet à réception d</w:t>
      </w:r>
      <w:r w:rsidR="00563EFD" w:rsidRPr="004829F6">
        <w:t>es documents ci-après énumérés :</w:t>
      </w:r>
    </w:p>
    <w:p w14:paraId="2368ACCA" w14:textId="77777777" w:rsidR="00BD42FD" w:rsidRPr="004829F6" w:rsidRDefault="00BD42FD" w:rsidP="00E82800">
      <w:pPr>
        <w:pStyle w:val="Puce"/>
      </w:pPr>
      <w:r w:rsidRPr="004829F6">
        <w:t>Signature, par le Mandant, d'une convention de compte d'instruments financiers et de services respectant les obligations de connaissance et d’information du Mandant.</w:t>
      </w:r>
    </w:p>
    <w:p w14:paraId="01B97B4E" w14:textId="77777777" w:rsidR="00BD42FD" w:rsidRPr="004829F6" w:rsidRDefault="00BD42FD" w:rsidP="00E82800">
      <w:pPr>
        <w:pStyle w:val="Puce"/>
      </w:pPr>
      <w:r w:rsidRPr="004829F6">
        <w:t>Versement du montant convenu au crédit du Compte ouvert au nom du Mandant dans les livres de la BANQUE.</w:t>
      </w:r>
    </w:p>
    <w:p w14:paraId="43BC2279" w14:textId="77777777" w:rsidR="00BD42FD" w:rsidRPr="004829F6" w:rsidRDefault="00BD42FD" w:rsidP="00E82800">
      <w:pPr>
        <w:pStyle w:val="Puce"/>
      </w:pPr>
      <w:r w:rsidRPr="004829F6">
        <w:t>Le cas échéant, réception par la BANQUE d'un exemplaire du pouvoir conféré par le Mandant.</w:t>
      </w:r>
    </w:p>
    <w:p w14:paraId="23834C36" w14:textId="72D92903" w:rsidR="00BD42FD" w:rsidRPr="004829F6" w:rsidRDefault="00BD42FD" w:rsidP="00E82800">
      <w:pPr>
        <w:pStyle w:val="Puce"/>
      </w:pPr>
      <w:r w:rsidRPr="004829F6">
        <w:t>Un exemplaire du spécimen de signature des représentants habilités à intervenir au nom du Mandant au titre du Mandat.</w:t>
      </w:r>
    </w:p>
    <w:p w14:paraId="10073EAC" w14:textId="760886B7" w:rsidR="00CF382D" w:rsidRPr="004829F6" w:rsidRDefault="00CF382D" w:rsidP="00CF382D">
      <w:pPr>
        <w:pStyle w:val="Puce"/>
      </w:pPr>
      <w:r w:rsidRPr="004829F6">
        <w:t>Le document de connaissance du client a été convenablement renseigné par le Mandant. Il est rappelé que son absence empêche l'exécution du présent Mandat.</w:t>
      </w:r>
    </w:p>
    <w:p w14:paraId="158946EC" w14:textId="08453725" w:rsidR="007D6738" w:rsidRPr="004829F6" w:rsidRDefault="007D6738" w:rsidP="003D79DF">
      <w:pPr>
        <w:pStyle w:val="Puce"/>
      </w:pPr>
      <w:r w:rsidRPr="004829F6">
        <w:t xml:space="preserve">Pour les Personnes </w:t>
      </w:r>
      <w:r w:rsidR="00722FDE" w:rsidRPr="004829F6">
        <w:t>Morales,</w:t>
      </w:r>
      <w:r w:rsidR="003D79DF" w:rsidRPr="004829F6">
        <w:t xml:space="preserve"> Legal Entity Identifier (LEI)</w:t>
      </w:r>
      <w:r w:rsidR="00A701F6">
        <w:t xml:space="preserve"> en cours de validité, indispensable</w:t>
      </w:r>
      <w:r w:rsidR="003D79DF" w:rsidRPr="004829F6">
        <w:t xml:space="preserve"> </w:t>
      </w:r>
      <w:r w:rsidR="0070108B" w:rsidRPr="004829F6">
        <w:t>avant</w:t>
      </w:r>
      <w:r w:rsidR="003D79DF" w:rsidRPr="004829F6">
        <w:t xml:space="preserve"> toute opération sur instruments financiers </w:t>
      </w:r>
    </w:p>
    <w:p w14:paraId="01C96643" w14:textId="11F9A782" w:rsidR="00EB52B8" w:rsidRDefault="00EB52B8" w:rsidP="00EB52B8">
      <w:pPr>
        <w:pStyle w:val="Puce"/>
        <w:numPr>
          <w:ilvl w:val="0"/>
          <w:numId w:val="0"/>
        </w:numPr>
        <w:ind w:left="284"/>
      </w:pPr>
    </w:p>
    <w:p w14:paraId="3FC0FAC1" w14:textId="53CF8CFA" w:rsidR="00A701F6" w:rsidRDefault="00A701F6" w:rsidP="00EB52B8">
      <w:pPr>
        <w:pStyle w:val="Puce"/>
        <w:numPr>
          <w:ilvl w:val="0"/>
          <w:numId w:val="0"/>
        </w:numPr>
        <w:ind w:left="284"/>
      </w:pPr>
    </w:p>
    <w:p w14:paraId="5C602970" w14:textId="77777777" w:rsidR="00084F07" w:rsidRPr="004829F6" w:rsidRDefault="00084F07" w:rsidP="00EB52B8">
      <w:pPr>
        <w:pStyle w:val="Puce"/>
        <w:numPr>
          <w:ilvl w:val="0"/>
          <w:numId w:val="0"/>
        </w:numPr>
        <w:ind w:left="284"/>
      </w:pPr>
    </w:p>
    <w:p w14:paraId="0DBC0C57" w14:textId="2AB780D1" w:rsidR="00DB7096" w:rsidRPr="004829F6" w:rsidRDefault="00722FDE" w:rsidP="00722FDE">
      <w:pPr>
        <w:pStyle w:val="Articles"/>
        <w:numPr>
          <w:ilvl w:val="0"/>
          <w:numId w:val="0"/>
        </w:numPr>
      </w:pPr>
      <w:r w:rsidRPr="004829F6">
        <w:t> Article 15 :</w:t>
      </w:r>
      <w:r w:rsidR="00DB7096" w:rsidRPr="004829F6">
        <w:t> élection de domicile</w:t>
      </w:r>
    </w:p>
    <w:p w14:paraId="2664C333" w14:textId="28475641" w:rsidR="00EB52B8" w:rsidRPr="004829F6" w:rsidRDefault="00BD42FD" w:rsidP="00AD59A1">
      <w:pPr>
        <w:pStyle w:val="NormalHuge"/>
      </w:pPr>
      <w:r w:rsidRPr="004829F6">
        <w:t>Pour l’exécution des présentes, les parties font élection de domicile en leur adresse respective indiquée en préambule du présent Mandat.</w:t>
      </w:r>
    </w:p>
    <w:p w14:paraId="59AAED43" w14:textId="6832803A" w:rsidR="00DB7096" w:rsidRPr="004829F6" w:rsidRDefault="00722FDE" w:rsidP="00722FDE">
      <w:pPr>
        <w:pStyle w:val="Articles"/>
        <w:numPr>
          <w:ilvl w:val="0"/>
          <w:numId w:val="0"/>
        </w:numPr>
      </w:pPr>
      <w:r w:rsidRPr="004829F6">
        <w:lastRenderedPageBreak/>
        <w:t> Article 16 :</w:t>
      </w:r>
      <w:r w:rsidR="00DB7096" w:rsidRPr="004829F6">
        <w:t> Loi applicable et contestation</w:t>
      </w:r>
    </w:p>
    <w:p w14:paraId="0D5D0521" w14:textId="77777777" w:rsidR="00AD59A1" w:rsidRPr="004829F6" w:rsidRDefault="00AD59A1" w:rsidP="00AD59A1">
      <w:pPr>
        <w:pStyle w:val="NormalHuge"/>
      </w:pPr>
      <w:r w:rsidRPr="004829F6">
        <w:t>Le présent Mandat est soumis au droit français.</w:t>
      </w:r>
    </w:p>
    <w:p w14:paraId="449A68AD" w14:textId="77777777" w:rsidR="00AD59A1" w:rsidRPr="004829F6" w:rsidRDefault="00AD59A1" w:rsidP="00AD59A1">
      <w:pPr>
        <w:pStyle w:val="NormalHuge"/>
      </w:pPr>
      <w:r w:rsidRPr="004829F6">
        <w:t>En cas de litige, il est fait exclusivement attribution de compétence au Tribunal d'instance ou de grande instance du lieu où est tenu le compte, même en cas de pluralité de défendeurs.</w:t>
      </w:r>
    </w:p>
    <w:p w14:paraId="538F2A5B" w14:textId="77777777" w:rsidR="007A3EB8" w:rsidRPr="004829F6" w:rsidRDefault="007A3EB8" w:rsidP="00AD59A1">
      <w:pPr>
        <w:pStyle w:val="NormalHuge"/>
      </w:pPr>
    </w:p>
    <w:p w14:paraId="72AE9CB2" w14:textId="52B82877" w:rsidR="00DB7096" w:rsidRPr="004829F6" w:rsidRDefault="00722FDE" w:rsidP="00722FDE">
      <w:pPr>
        <w:pStyle w:val="Articles"/>
        <w:numPr>
          <w:ilvl w:val="0"/>
          <w:numId w:val="0"/>
        </w:numPr>
      </w:pPr>
      <w:r w:rsidRPr="004829F6">
        <w:t> Article 17 :</w:t>
      </w:r>
      <w:r w:rsidR="00DB7096" w:rsidRPr="004829F6">
        <w:t xml:space="preserve"> Protection des données </w:t>
      </w:r>
      <w:r w:rsidR="00457869" w:rsidRPr="004829F6">
        <w:t xml:space="preserve">A CARACTERE </w:t>
      </w:r>
      <w:r w:rsidR="00DB7096" w:rsidRPr="004829F6">
        <w:t>personnel</w:t>
      </w:r>
    </w:p>
    <w:p w14:paraId="18E7399E" w14:textId="195CD041" w:rsidR="00CF382D" w:rsidRPr="004829F6" w:rsidRDefault="00CF382D" w:rsidP="00CF382D">
      <w:pPr>
        <w:pStyle w:val="NormalHuge"/>
      </w:pPr>
      <w:r w:rsidRPr="004829F6">
        <w:t>Dans le cadre de la signature et de l’exécution du Mandat, la BANQUE recueille et traite des données à caractère</w:t>
      </w:r>
      <w:r w:rsidR="00722FDE" w:rsidRPr="004829F6">
        <w:t xml:space="preserve"> </w:t>
      </w:r>
      <w:r w:rsidRPr="004829F6">
        <w:t>personnel concernant le Mandant et les personnes physiques intervenant dans le cadre de la relation (mandataire,</w:t>
      </w:r>
      <w:r w:rsidR="00722FDE" w:rsidRPr="004829F6">
        <w:t xml:space="preserve"> </w:t>
      </w:r>
      <w:r w:rsidRPr="004829F6">
        <w:t>représentant légal, caution, contact désigné, préposé, bénéficiaire effectif, membre de la famille, …).</w:t>
      </w:r>
    </w:p>
    <w:p w14:paraId="6CC17DBB" w14:textId="403A0DE8" w:rsidR="00CF382D" w:rsidRPr="004829F6" w:rsidRDefault="00CF382D" w:rsidP="00CF382D">
      <w:pPr>
        <w:pStyle w:val="NormalHuge"/>
      </w:pPr>
      <w:r w:rsidRPr="004829F6">
        <w:t>Les informations expliquant pourquoi et comment ces données sont utilisées, combien de temps elles seront conservées</w:t>
      </w:r>
      <w:r w:rsidR="00722FDE" w:rsidRPr="004829F6">
        <w:t xml:space="preserve"> </w:t>
      </w:r>
      <w:r w:rsidRPr="004829F6">
        <w:t>ainsi que les droits dont le Mandant et les personnes physiques concernés disposent sur leurs données figurent dans la</w:t>
      </w:r>
      <w:r w:rsidR="00722FDE" w:rsidRPr="004829F6">
        <w:t xml:space="preserve"> </w:t>
      </w:r>
      <w:r w:rsidRPr="004829F6">
        <w:t>notice d’information sur le traitement des données à caractère personnel.</w:t>
      </w:r>
    </w:p>
    <w:p w14:paraId="0BE133C7" w14:textId="78AAA062" w:rsidR="00CF382D" w:rsidRPr="004829F6" w:rsidRDefault="00CF382D" w:rsidP="00CF382D">
      <w:pPr>
        <w:pStyle w:val="NormalHuge"/>
      </w:pPr>
      <w:r w:rsidRPr="004829F6">
        <w:t>Cette notice est portée à la connaissance du Mandant lors de la première collecte de ses données. Il peut y accéder à</w:t>
      </w:r>
      <w:r w:rsidR="00722FDE" w:rsidRPr="004829F6">
        <w:t xml:space="preserve"> </w:t>
      </w:r>
      <w:r w:rsidRPr="004829F6">
        <w:t>tout moment, sur le site Internet de la BANQUE Populaire Rives de Paris, ou en obtenir un exemplaire auprès de son agence.</w:t>
      </w:r>
    </w:p>
    <w:p w14:paraId="6A3E402A" w14:textId="598C1CE1" w:rsidR="00CF382D" w:rsidRPr="004829F6" w:rsidRDefault="00CF382D" w:rsidP="00CF382D">
      <w:pPr>
        <w:pStyle w:val="NormalHuge"/>
      </w:pPr>
      <w:r w:rsidRPr="004829F6">
        <w:t>La BANQUE communiquera en temps utile les évolutions apportées à ces informations.</w:t>
      </w:r>
    </w:p>
    <w:p w14:paraId="01BF668D" w14:textId="77777777" w:rsidR="00EB52B8" w:rsidRPr="004829F6" w:rsidRDefault="00EB52B8" w:rsidP="00AD59A1">
      <w:pPr>
        <w:pStyle w:val="NormalHuge"/>
      </w:pPr>
    </w:p>
    <w:p w14:paraId="4B5E7DA6" w14:textId="11D51E11" w:rsidR="00DB7096" w:rsidRPr="004829F6" w:rsidRDefault="00251B22" w:rsidP="00251B22">
      <w:pPr>
        <w:pStyle w:val="Articles"/>
        <w:numPr>
          <w:ilvl w:val="0"/>
          <w:numId w:val="0"/>
        </w:numPr>
      </w:pPr>
      <w:r w:rsidRPr="004829F6">
        <w:t> Article 18 :</w:t>
      </w:r>
      <w:r w:rsidR="00DB7096" w:rsidRPr="004829F6">
        <w:t> Secret professionnel</w:t>
      </w:r>
    </w:p>
    <w:p w14:paraId="3F613F37" w14:textId="44D46E1B" w:rsidR="00FC6EE8" w:rsidRPr="004829F6" w:rsidRDefault="00FC6EE8" w:rsidP="00FC6EE8">
      <w:pPr>
        <w:pStyle w:val="NormalHuge"/>
      </w:pPr>
      <w:r w:rsidRPr="004829F6">
        <w:t>La BANQUE est tenue au secret professionnel (article L. 511-33 du code monétaire et financier). Elle est toutefois déliée de cette obligation soit à la demande du Client, soit lorsque la loi le prévoit, notamment à l’égard de l’ACPR, de la Banque de France, ou de l'autorité judiciaire agissant dans le cadre d'une procédure pénale. Le secret professionnel peut être également levé par application des conventions conclues par la France organisant un échange automatique d’informations à des fins fiscales avec des pays tiers.</w:t>
      </w:r>
    </w:p>
    <w:p w14:paraId="10C2E6E4" w14:textId="2D0B705D" w:rsidR="00FC6EE8" w:rsidRPr="004829F6" w:rsidRDefault="00FC6EE8" w:rsidP="00FC6EE8">
      <w:pPr>
        <w:pStyle w:val="NormalHuge"/>
      </w:pPr>
      <w:r w:rsidRPr="004829F6">
        <w:t xml:space="preserve">Le </w:t>
      </w:r>
      <w:r w:rsidR="00653FE0" w:rsidRPr="004829F6">
        <w:t>Client</w:t>
      </w:r>
      <w:r w:rsidRPr="004829F6">
        <w:t xml:space="preserve"> peut aussi indiquer par écrit les tiers auxquels la BANQUE sera autorisée à fournir les informations le concernant qu’il mentionnera expressément.</w:t>
      </w:r>
    </w:p>
    <w:p w14:paraId="20207E5D" w14:textId="51F9600D" w:rsidR="00FC6EE8" w:rsidRPr="004829F6" w:rsidRDefault="00FC6EE8" w:rsidP="00FC6EE8">
      <w:pPr>
        <w:pStyle w:val="NormalHuge"/>
      </w:pPr>
      <w:r w:rsidRPr="004829F6">
        <w:t xml:space="preserve">En outre, le </w:t>
      </w:r>
      <w:r w:rsidR="00653FE0" w:rsidRPr="004829F6">
        <w:t>Client</w:t>
      </w:r>
      <w:r w:rsidRPr="004829F6">
        <w:t xml:space="preserve"> autorise expressément et dès à présent la BANQUE à communiquer et partager les données le concernant ainsi que leurs mises à jour :</w:t>
      </w:r>
    </w:p>
    <w:p w14:paraId="199C7ED8" w14:textId="777AD7CF" w:rsidR="00FC6EE8" w:rsidRPr="004829F6" w:rsidRDefault="00FC6EE8" w:rsidP="00FC6EE8">
      <w:pPr>
        <w:pStyle w:val="NormalHuge"/>
      </w:pPr>
      <w:r w:rsidRPr="004829F6">
        <w:t>- à BPCE S.A. agissant en qualité d’organe central du Groupe BPCE pour l’exercice des compétences prévues aux articles L. 511-31, L. 511-32 et L. 512-107 du Code monétaire et financier afin que celui-ci puisse satisfaire aux différentes missions qui lui sont dévolues, au bénéfice de la BANQUE et du Groupe, notamment en matière de déclarations prudentielles auprès de toute autorité de régulation compétente ;</w:t>
      </w:r>
    </w:p>
    <w:p w14:paraId="23BADBC5" w14:textId="77777777" w:rsidR="00FC6EE8" w:rsidRPr="004829F6" w:rsidRDefault="00FC6EE8" w:rsidP="00FC6EE8">
      <w:pPr>
        <w:pStyle w:val="NormalHuge"/>
      </w:pPr>
      <w:r w:rsidRPr="004829F6">
        <w:t>- à toute entité du Groupe BPCE en vue de la présentation au Client des produits ou services gérés par ces entités ;</w:t>
      </w:r>
    </w:p>
    <w:p w14:paraId="528DC9FD" w14:textId="77777777" w:rsidR="00FC6EE8" w:rsidRPr="004829F6" w:rsidRDefault="00FC6EE8" w:rsidP="00FC6EE8">
      <w:pPr>
        <w:pStyle w:val="NormalHuge"/>
      </w:pPr>
      <w:r w:rsidRPr="004829F6">
        <w:t>- aux entités du Groupe BPCE avec lesquelles le Client est ou entre en relation contractuelle aux fins d’actualisation des données collectées par ces entités, y compris des informations relatives à son statut fiscal ;</w:t>
      </w:r>
    </w:p>
    <w:p w14:paraId="248ADC4F" w14:textId="702B9DB9" w:rsidR="00FC6EE8" w:rsidRPr="004829F6" w:rsidRDefault="00FC6EE8" w:rsidP="00FC6EE8">
      <w:pPr>
        <w:pStyle w:val="NormalHuge"/>
      </w:pPr>
      <w:r w:rsidRPr="004829F6">
        <w:t xml:space="preserve">- aux entités du Groupe BPCE en cas de mise en commun de moyens techniques, notamment informatiques ainsi que de gestion de gouvernance des données, pour le compte de la BANQUE. À cet effet, les informations personnelles concernant le Client couvertes par le secret bancaire pourront être </w:t>
      </w:r>
      <w:r w:rsidR="007A6C1F">
        <w:t>an</w:t>
      </w:r>
      <w:r w:rsidRPr="004829F6">
        <w:t>onymisées à des fins de recherches et de création de modèle statistique) ;</w:t>
      </w:r>
    </w:p>
    <w:p w14:paraId="7E327DAA" w14:textId="1DF39C0B" w:rsidR="00FC6EE8" w:rsidRPr="004829F6" w:rsidRDefault="00FC6EE8" w:rsidP="00FC6EE8">
      <w:pPr>
        <w:pStyle w:val="NormalHuge"/>
      </w:pPr>
      <w:r w:rsidRPr="004829F6">
        <w:t>- aux partenaires de la BANQUE, pour permettre au Client de bénéficier des avantages du partenariat auquel il adhère, le cas échéant, et ce dans le cadre exclusif des accords de partenariat ;</w:t>
      </w:r>
    </w:p>
    <w:p w14:paraId="26CDEFAA" w14:textId="53DFDA69" w:rsidR="00EB52B8" w:rsidRPr="004829F6" w:rsidRDefault="00FC6EE8" w:rsidP="00FC6EE8">
      <w:pPr>
        <w:pStyle w:val="NormalHuge"/>
      </w:pPr>
      <w:r w:rsidRPr="004829F6">
        <w:t>- aux sous-traitants et prestataires pour les seuls besoins des prestations à réaliser pour la BANQUE et notamment la fourniture des produits bancaires et financiers ou la réalisation d’enquêtes ou de statistiques.</w:t>
      </w:r>
    </w:p>
    <w:p w14:paraId="4CC6EC6C" w14:textId="77777777" w:rsidR="00FC6EE8" w:rsidRPr="004829F6" w:rsidRDefault="00FC6EE8" w:rsidP="00FC6EE8">
      <w:pPr>
        <w:pStyle w:val="NormalHuge"/>
      </w:pPr>
    </w:p>
    <w:p w14:paraId="6B60339D" w14:textId="53C4C6C4" w:rsidR="00FC1FE3" w:rsidRPr="004829F6" w:rsidRDefault="00251B22" w:rsidP="00251B22">
      <w:pPr>
        <w:pStyle w:val="Articles"/>
        <w:numPr>
          <w:ilvl w:val="0"/>
          <w:numId w:val="0"/>
        </w:numPr>
        <w:autoSpaceDE w:val="0"/>
        <w:autoSpaceDN w:val="0"/>
        <w:adjustRightInd w:val="0"/>
        <w:spacing w:after="0"/>
        <w:rPr>
          <w:rFonts w:cs="Century Gothic"/>
          <w:szCs w:val="18"/>
          <w:lang w:eastAsia="fr-FR"/>
        </w:rPr>
      </w:pPr>
      <w:r w:rsidRPr="004829F6">
        <w:rPr>
          <w:b w:val="0"/>
          <w:bCs/>
        </w:rPr>
        <w:t> </w:t>
      </w:r>
      <w:r w:rsidRPr="004829F6">
        <w:t>Article 19 :</w:t>
      </w:r>
      <w:r w:rsidR="00DB7096" w:rsidRPr="004829F6">
        <w:t xml:space="preserve"> Lutte </w:t>
      </w:r>
      <w:r w:rsidR="00FC1FE3" w:rsidRPr="004829F6">
        <w:t>CONTRE LE BLANC</w:t>
      </w:r>
      <w:r w:rsidR="002331F8" w:rsidRPr="004829F6">
        <w:t>H</w:t>
      </w:r>
      <w:r w:rsidR="00FC1FE3" w:rsidRPr="004829F6">
        <w:t>IMENT DES CAPITAUX ET LE FINANCEMENT DU TERRORISME</w:t>
      </w:r>
      <w:r w:rsidR="000C5450" w:rsidRPr="004829F6">
        <w:t xml:space="preserve"> ET RESPECT DES SANCTIONS INTERNATIONALES</w:t>
      </w:r>
    </w:p>
    <w:p w14:paraId="55F7CD4A" w14:textId="77777777" w:rsidR="005D4913" w:rsidRPr="004829F6" w:rsidRDefault="005D4913" w:rsidP="005D4913">
      <w:pPr>
        <w:autoSpaceDE w:val="0"/>
        <w:autoSpaceDN w:val="0"/>
        <w:adjustRightInd w:val="0"/>
        <w:spacing w:after="0"/>
        <w:jc w:val="both"/>
        <w:rPr>
          <w:rFonts w:cs="Century Gothic"/>
          <w:szCs w:val="18"/>
          <w:lang w:eastAsia="fr-FR"/>
        </w:rPr>
      </w:pPr>
    </w:p>
    <w:p w14:paraId="54450C0C" w14:textId="77777777" w:rsidR="000C5450" w:rsidRPr="004829F6" w:rsidRDefault="000C5450" w:rsidP="00FC6EE8">
      <w:pPr>
        <w:autoSpaceDE w:val="0"/>
        <w:autoSpaceDN w:val="0"/>
        <w:jc w:val="both"/>
        <w:rPr>
          <w:lang w:eastAsia="fr-FR"/>
        </w:rPr>
      </w:pPr>
    </w:p>
    <w:p w14:paraId="67F08CB7" w14:textId="3341DDF7" w:rsidR="000C5450" w:rsidRPr="004829F6" w:rsidRDefault="000C5450" w:rsidP="000C5450">
      <w:pPr>
        <w:autoSpaceDE w:val="0"/>
        <w:autoSpaceDN w:val="0"/>
        <w:jc w:val="both"/>
        <w:rPr>
          <w:lang w:eastAsia="fr-FR"/>
        </w:rPr>
      </w:pPr>
      <w:r w:rsidRPr="004829F6">
        <w:rPr>
          <w:lang w:eastAsia="fr-FR"/>
        </w:rPr>
        <w:lastRenderedPageBreak/>
        <w:t>La BANQUE est tenue, dans le cadre de ses obligations concernant la lutte contre le blanchiment des capitaux et le</w:t>
      </w:r>
      <w:r w:rsidR="00251B22" w:rsidRPr="004829F6">
        <w:rPr>
          <w:lang w:eastAsia="fr-FR"/>
        </w:rPr>
        <w:t xml:space="preserve"> </w:t>
      </w:r>
      <w:r w:rsidRPr="004829F6">
        <w:rPr>
          <w:lang w:eastAsia="fr-FR"/>
        </w:rPr>
        <w:t>financement du terrorisme, de procéder à l’identification et à la vérification de l’identité des clients et le cas échéant de</w:t>
      </w:r>
      <w:r w:rsidR="00251B22" w:rsidRPr="004829F6">
        <w:rPr>
          <w:lang w:eastAsia="fr-FR"/>
        </w:rPr>
        <w:t xml:space="preserve"> </w:t>
      </w:r>
      <w:r w:rsidRPr="004829F6">
        <w:rPr>
          <w:lang w:eastAsia="fr-FR"/>
        </w:rPr>
        <w:t>leurs bénéficiaires effectifs. Le bénéficiaire effectif s'entend de la personne qui contrôle, directement ou indirectement,</w:t>
      </w:r>
      <w:r w:rsidR="00251B22" w:rsidRPr="004829F6">
        <w:rPr>
          <w:lang w:eastAsia="fr-FR"/>
        </w:rPr>
        <w:t xml:space="preserve"> </w:t>
      </w:r>
      <w:r w:rsidRPr="004829F6">
        <w:rPr>
          <w:lang w:eastAsia="fr-FR"/>
        </w:rPr>
        <w:t>le Client ou de celle pour laquelle une transaction est exécutée ou une activité réalisée. La BANQUE est tenue par ailleurs</w:t>
      </w:r>
      <w:r w:rsidR="00251B22" w:rsidRPr="004829F6">
        <w:rPr>
          <w:lang w:eastAsia="fr-FR"/>
        </w:rPr>
        <w:t xml:space="preserve"> </w:t>
      </w:r>
      <w:r w:rsidRPr="004829F6">
        <w:rPr>
          <w:lang w:eastAsia="fr-FR"/>
        </w:rPr>
        <w:t>d’identifier la nature et l’objet de la relation d’affaires.</w:t>
      </w:r>
    </w:p>
    <w:p w14:paraId="6BBAD93F" w14:textId="76C3C29B" w:rsidR="000C5450" w:rsidRPr="004829F6" w:rsidRDefault="000C5450" w:rsidP="000C5450">
      <w:pPr>
        <w:autoSpaceDE w:val="0"/>
        <w:autoSpaceDN w:val="0"/>
        <w:jc w:val="both"/>
        <w:rPr>
          <w:lang w:eastAsia="fr-FR"/>
        </w:rPr>
      </w:pPr>
      <w:r w:rsidRPr="004829F6">
        <w:rPr>
          <w:lang w:eastAsia="fr-FR"/>
        </w:rPr>
        <w:t>La BANQUE est également tenue d’exercer une vigilance constante à l’égard de sa clientèle pendant toute la durée de</w:t>
      </w:r>
      <w:r w:rsidR="00251B22" w:rsidRPr="004829F6">
        <w:rPr>
          <w:lang w:eastAsia="fr-FR"/>
        </w:rPr>
        <w:t xml:space="preserve"> </w:t>
      </w:r>
      <w:r w:rsidRPr="004829F6">
        <w:rPr>
          <w:lang w:eastAsia="fr-FR"/>
        </w:rPr>
        <w:t>la relation d’affaires (montant et nature des opérations, provenance et destination des fonds, suivi de la situation</w:t>
      </w:r>
      <w:r w:rsidR="00251B22" w:rsidRPr="004829F6">
        <w:rPr>
          <w:lang w:eastAsia="fr-FR"/>
        </w:rPr>
        <w:t xml:space="preserve"> </w:t>
      </w:r>
      <w:r w:rsidRPr="004829F6">
        <w:rPr>
          <w:lang w:eastAsia="fr-FR"/>
        </w:rPr>
        <w:t>professionnelle, économique et financière du Client…).</w:t>
      </w:r>
    </w:p>
    <w:p w14:paraId="7A2D317B" w14:textId="77777777" w:rsidR="000C5450" w:rsidRPr="004829F6" w:rsidRDefault="000C5450" w:rsidP="000C5450">
      <w:pPr>
        <w:autoSpaceDE w:val="0"/>
        <w:autoSpaceDN w:val="0"/>
        <w:jc w:val="both"/>
        <w:rPr>
          <w:lang w:eastAsia="fr-FR"/>
        </w:rPr>
      </w:pPr>
      <w:r w:rsidRPr="004829F6">
        <w:rPr>
          <w:lang w:eastAsia="fr-FR"/>
        </w:rPr>
        <w:t>A ce titre, la BANQUE est notamment tenue d’appliquer des mesures de vigilance particulières à l’égard des Personnes</w:t>
      </w:r>
    </w:p>
    <w:p w14:paraId="08BC850A" w14:textId="77777777" w:rsidR="00251B22" w:rsidRPr="004829F6" w:rsidRDefault="000C5450" w:rsidP="000C5450">
      <w:pPr>
        <w:autoSpaceDE w:val="0"/>
        <w:autoSpaceDN w:val="0"/>
        <w:jc w:val="both"/>
        <w:rPr>
          <w:lang w:eastAsia="fr-FR"/>
        </w:rPr>
      </w:pPr>
      <w:r w:rsidRPr="004829F6">
        <w:rPr>
          <w:lang w:eastAsia="fr-FR"/>
        </w:rPr>
        <w:t>Politiquement Exposées définies à l’article R. 561-18 du Code monétaire et financier.</w:t>
      </w:r>
      <w:r w:rsidR="00251B22" w:rsidRPr="004829F6">
        <w:rPr>
          <w:lang w:eastAsia="fr-FR"/>
        </w:rPr>
        <w:t xml:space="preserve"> </w:t>
      </w:r>
    </w:p>
    <w:p w14:paraId="5C5CD80A" w14:textId="44443BF2" w:rsidR="000C5450" w:rsidRPr="004829F6" w:rsidRDefault="000C5450" w:rsidP="000C5450">
      <w:pPr>
        <w:autoSpaceDE w:val="0"/>
        <w:autoSpaceDN w:val="0"/>
        <w:jc w:val="both"/>
        <w:rPr>
          <w:lang w:eastAsia="fr-FR"/>
        </w:rPr>
      </w:pPr>
      <w:r w:rsidRPr="004829F6">
        <w:rPr>
          <w:lang w:eastAsia="fr-FR"/>
        </w:rPr>
        <w:t>La BANQUE est également tenue de s’informer auprès de ses clients pour les opérations qui lui apparaîtront comme</w:t>
      </w:r>
      <w:r w:rsidR="00251B22" w:rsidRPr="004829F6">
        <w:rPr>
          <w:lang w:eastAsia="fr-FR"/>
        </w:rPr>
        <w:t xml:space="preserve"> </w:t>
      </w:r>
      <w:r w:rsidRPr="004829F6">
        <w:rPr>
          <w:lang w:eastAsia="fr-FR"/>
        </w:rPr>
        <w:t>particulièrement complexes ou d’un montant inhabituellement élevé ou ne paraissant pas avoir de justification</w:t>
      </w:r>
      <w:r w:rsidR="00251B22" w:rsidRPr="004829F6">
        <w:rPr>
          <w:lang w:eastAsia="fr-FR"/>
        </w:rPr>
        <w:t xml:space="preserve"> </w:t>
      </w:r>
      <w:r w:rsidRPr="004829F6">
        <w:rPr>
          <w:lang w:eastAsia="fr-FR"/>
        </w:rPr>
        <w:t>économique ou d’objet licite.</w:t>
      </w:r>
    </w:p>
    <w:p w14:paraId="70D8ECF8" w14:textId="77777777" w:rsidR="000C5450" w:rsidRPr="004829F6" w:rsidRDefault="000C5450" w:rsidP="000C5450">
      <w:pPr>
        <w:autoSpaceDE w:val="0"/>
        <w:autoSpaceDN w:val="0"/>
        <w:jc w:val="both"/>
        <w:rPr>
          <w:lang w:eastAsia="fr-FR"/>
        </w:rPr>
      </w:pPr>
      <w:r w:rsidRPr="004829F6">
        <w:rPr>
          <w:lang w:eastAsia="fr-FR"/>
        </w:rPr>
        <w:t>A ce titre, le Client s’engage envers la Banque, pendant toute la durée du Mandat :</w:t>
      </w:r>
    </w:p>
    <w:p w14:paraId="7B34B53F" w14:textId="5FDDCF93" w:rsidR="000C5450" w:rsidRPr="004829F6" w:rsidRDefault="000C5450" w:rsidP="000C5450">
      <w:pPr>
        <w:autoSpaceDE w:val="0"/>
        <w:autoSpaceDN w:val="0"/>
        <w:jc w:val="both"/>
        <w:rPr>
          <w:lang w:eastAsia="fr-FR"/>
        </w:rPr>
      </w:pPr>
      <w:r w:rsidRPr="004829F6">
        <w:rPr>
          <w:lang w:eastAsia="fr-FR"/>
        </w:rPr>
        <w:t>- à la tenir informée sans délai de toute modification survenue au niveau de ses situations professionnelle, patrimoniale,</w:t>
      </w:r>
      <w:r w:rsidR="00251B22" w:rsidRPr="004829F6">
        <w:rPr>
          <w:lang w:eastAsia="fr-FR"/>
        </w:rPr>
        <w:t xml:space="preserve"> </w:t>
      </w:r>
      <w:r w:rsidRPr="004829F6">
        <w:rPr>
          <w:lang w:eastAsia="fr-FR"/>
        </w:rPr>
        <w:t>financière ou de celles de sa caution éventuelle, et plus généralement de tout évènement susceptible de modifier</w:t>
      </w:r>
      <w:r w:rsidR="00251B22" w:rsidRPr="004829F6">
        <w:rPr>
          <w:lang w:eastAsia="fr-FR"/>
        </w:rPr>
        <w:t xml:space="preserve"> </w:t>
      </w:r>
      <w:r w:rsidRPr="004829F6">
        <w:rPr>
          <w:lang w:eastAsia="fr-FR"/>
        </w:rPr>
        <w:t>notoirement la valeur de son patrimoine ou d’aggraver l’importance de son endettement ;</w:t>
      </w:r>
    </w:p>
    <w:p w14:paraId="1471FCFE" w14:textId="34AE9E37" w:rsidR="000C5450" w:rsidRPr="004829F6" w:rsidRDefault="000C5450" w:rsidP="000C5450">
      <w:pPr>
        <w:autoSpaceDE w:val="0"/>
        <w:autoSpaceDN w:val="0"/>
        <w:jc w:val="both"/>
        <w:rPr>
          <w:lang w:eastAsia="fr-FR"/>
        </w:rPr>
      </w:pPr>
      <w:r w:rsidRPr="004829F6">
        <w:rPr>
          <w:lang w:eastAsia="fr-FR"/>
        </w:rPr>
        <w:t>- à lui communiquer à première demande toute information, toute pièce ou tout document relatif à sa situation</w:t>
      </w:r>
      <w:r w:rsidR="00251B22" w:rsidRPr="004829F6">
        <w:rPr>
          <w:lang w:eastAsia="fr-FR"/>
        </w:rPr>
        <w:t xml:space="preserve"> </w:t>
      </w:r>
      <w:r w:rsidRPr="004829F6">
        <w:rPr>
          <w:lang w:eastAsia="fr-FR"/>
        </w:rPr>
        <w:t>professionnelle, patrimoniale, financière ou personnelle ou aux conditions d’une opération inhabituelle initiée à son profit</w:t>
      </w:r>
      <w:r w:rsidR="00251B22" w:rsidRPr="004829F6">
        <w:rPr>
          <w:lang w:eastAsia="fr-FR"/>
        </w:rPr>
        <w:t xml:space="preserve"> </w:t>
      </w:r>
      <w:r w:rsidRPr="004829F6">
        <w:rPr>
          <w:lang w:eastAsia="fr-FR"/>
        </w:rPr>
        <w:t>ou au profit d’un tiers.</w:t>
      </w:r>
    </w:p>
    <w:p w14:paraId="26A6EF75" w14:textId="5BDAAAC1" w:rsidR="000C5450" w:rsidRPr="004829F6" w:rsidRDefault="000C5450" w:rsidP="000C5450">
      <w:pPr>
        <w:autoSpaceDE w:val="0"/>
        <w:autoSpaceDN w:val="0"/>
        <w:jc w:val="both"/>
        <w:rPr>
          <w:lang w:eastAsia="fr-FR"/>
        </w:rPr>
      </w:pPr>
      <w:r w:rsidRPr="004829F6">
        <w:rPr>
          <w:lang w:eastAsia="fr-FR"/>
        </w:rPr>
        <w:t>La BANQUE, en raison des obligations mises à sa charge par les pouvoirs publics au titre de la lutte contre le blanchiment</w:t>
      </w:r>
      <w:r w:rsidR="00251B22" w:rsidRPr="004829F6">
        <w:rPr>
          <w:lang w:eastAsia="fr-FR"/>
        </w:rPr>
        <w:t xml:space="preserve"> </w:t>
      </w:r>
      <w:r w:rsidRPr="004829F6">
        <w:rPr>
          <w:lang w:eastAsia="fr-FR"/>
        </w:rPr>
        <w:t>des capitaux et le financement du terrorisme, peut être amenée à prendre toutes mesures susceptibles de conduire à</w:t>
      </w:r>
      <w:r w:rsidR="00251B22" w:rsidRPr="004829F6">
        <w:rPr>
          <w:lang w:eastAsia="fr-FR"/>
        </w:rPr>
        <w:t xml:space="preserve"> </w:t>
      </w:r>
      <w:r w:rsidRPr="004829F6">
        <w:rPr>
          <w:lang w:eastAsia="fr-FR"/>
        </w:rPr>
        <w:t>des différés d’opérations ou à des refus d'exécution d’opérations liés à auxdites obligations.</w:t>
      </w:r>
    </w:p>
    <w:p w14:paraId="6ED599EF" w14:textId="77777777" w:rsidR="00251B22" w:rsidRPr="004829F6" w:rsidRDefault="00251B22" w:rsidP="000C5450">
      <w:pPr>
        <w:autoSpaceDE w:val="0"/>
        <w:autoSpaceDN w:val="0"/>
        <w:jc w:val="both"/>
        <w:rPr>
          <w:lang w:eastAsia="fr-FR"/>
        </w:rPr>
      </w:pPr>
    </w:p>
    <w:p w14:paraId="6D3D3291" w14:textId="77777777" w:rsidR="000C5450" w:rsidRPr="004829F6" w:rsidRDefault="000C5450" w:rsidP="000C5450">
      <w:pPr>
        <w:autoSpaceDE w:val="0"/>
        <w:autoSpaceDN w:val="0"/>
        <w:jc w:val="both"/>
        <w:rPr>
          <w:lang w:eastAsia="fr-FR"/>
        </w:rPr>
      </w:pPr>
      <w:r w:rsidRPr="004829F6">
        <w:rPr>
          <w:lang w:eastAsia="fr-FR"/>
        </w:rPr>
        <w:t>▪ Respect de la règlementation sur les sanctions internationales :</w:t>
      </w:r>
    </w:p>
    <w:p w14:paraId="18879C24" w14:textId="54264D15" w:rsidR="000C5450" w:rsidRPr="004829F6" w:rsidRDefault="000C5450" w:rsidP="000C5450">
      <w:pPr>
        <w:autoSpaceDE w:val="0"/>
        <w:autoSpaceDN w:val="0"/>
        <w:jc w:val="both"/>
        <w:rPr>
          <w:lang w:eastAsia="fr-FR"/>
        </w:rPr>
      </w:pPr>
      <w:r w:rsidRPr="004829F6">
        <w:rPr>
          <w:lang w:eastAsia="fr-FR"/>
        </w:rPr>
        <w:t>La BANQUE est également tenue de respecter les lois et réglementations en vigueur dans diverses juridictions, en matière</w:t>
      </w:r>
      <w:r w:rsidR="00251B22" w:rsidRPr="004829F6">
        <w:rPr>
          <w:lang w:eastAsia="fr-FR"/>
        </w:rPr>
        <w:t xml:space="preserve"> </w:t>
      </w:r>
      <w:r w:rsidRPr="004829F6">
        <w:rPr>
          <w:lang w:eastAsia="fr-FR"/>
        </w:rPr>
        <w:t>de sanctions économiques, financières ou commerciales, et toute mesure restrictive liée à un embargo, à un gel des</w:t>
      </w:r>
      <w:r w:rsidR="00251B22" w:rsidRPr="004829F6">
        <w:rPr>
          <w:lang w:eastAsia="fr-FR"/>
        </w:rPr>
        <w:t xml:space="preserve"> </w:t>
      </w:r>
      <w:r w:rsidRPr="004829F6">
        <w:rPr>
          <w:lang w:eastAsia="fr-FR"/>
        </w:rPr>
        <w:t>avoirs et des ressources économiques, à des restrictions sur des transactions avec des individus ou entités ou concernant</w:t>
      </w:r>
      <w:r w:rsidR="00251B22" w:rsidRPr="004829F6">
        <w:rPr>
          <w:lang w:eastAsia="fr-FR"/>
        </w:rPr>
        <w:t xml:space="preserve"> </w:t>
      </w:r>
      <w:r w:rsidRPr="004829F6">
        <w:rPr>
          <w:lang w:eastAsia="fr-FR"/>
        </w:rPr>
        <w:t>des biens ou des territoires déterminés émises, administrées ou mises en place par le Conseil de sécurité de l’ONU, l’Union</w:t>
      </w:r>
      <w:r w:rsidR="00251B22" w:rsidRPr="004829F6">
        <w:rPr>
          <w:lang w:eastAsia="fr-FR"/>
        </w:rPr>
        <w:t xml:space="preserve"> </w:t>
      </w:r>
      <w:r w:rsidRPr="004829F6">
        <w:rPr>
          <w:lang w:eastAsia="fr-FR"/>
        </w:rPr>
        <w:t>européenne, la France, les États-Unis d’Amérique (et notamment le Bureau de Contrôle des Actifs Etrangers rattaché au</w:t>
      </w:r>
    </w:p>
    <w:p w14:paraId="38338120" w14:textId="26A737E4" w:rsidR="000C5450" w:rsidRPr="004829F6" w:rsidRDefault="000C5450" w:rsidP="000C5450">
      <w:pPr>
        <w:autoSpaceDE w:val="0"/>
        <w:autoSpaceDN w:val="0"/>
        <w:jc w:val="both"/>
        <w:rPr>
          <w:lang w:eastAsia="fr-FR"/>
        </w:rPr>
      </w:pPr>
      <w:r w:rsidRPr="004829F6">
        <w:rPr>
          <w:lang w:eastAsia="fr-FR"/>
        </w:rPr>
        <w:t xml:space="preserve">Département du Trésor : OFAC et le Département </w:t>
      </w:r>
      <w:r w:rsidR="00251B22" w:rsidRPr="004829F6">
        <w:rPr>
          <w:lang w:eastAsia="fr-FR"/>
        </w:rPr>
        <w:t>d’État)</w:t>
      </w:r>
      <w:r w:rsidRPr="004829F6">
        <w:rPr>
          <w:lang w:eastAsia="fr-FR"/>
        </w:rPr>
        <w:t xml:space="preserve"> et par des autorités locales compétentes pour édicter de telles</w:t>
      </w:r>
      <w:r w:rsidR="00251B22" w:rsidRPr="004829F6">
        <w:rPr>
          <w:lang w:eastAsia="fr-FR"/>
        </w:rPr>
        <w:t xml:space="preserve"> </w:t>
      </w:r>
      <w:r w:rsidRPr="004829F6">
        <w:rPr>
          <w:lang w:eastAsia="fr-FR"/>
        </w:rPr>
        <w:t>sanctions internationales. Dans le cas où le Client, son mandataire éventuel, le bénéficiaire effectif ou l’Etat où ils résident</w:t>
      </w:r>
      <w:r w:rsidR="00251B22" w:rsidRPr="004829F6">
        <w:rPr>
          <w:lang w:eastAsia="fr-FR"/>
        </w:rPr>
        <w:t xml:space="preserve"> </w:t>
      </w:r>
      <w:r w:rsidRPr="004829F6">
        <w:rPr>
          <w:lang w:eastAsia="fr-FR"/>
        </w:rPr>
        <w:t>viendraient à faire l’objet de telles sanctions ou mesures restrictives, la BANQUE pourra être amenée, en conformité avec</w:t>
      </w:r>
      <w:r w:rsidR="00251B22" w:rsidRPr="004829F6">
        <w:rPr>
          <w:lang w:eastAsia="fr-FR"/>
        </w:rPr>
        <w:t xml:space="preserve"> </w:t>
      </w:r>
      <w:r w:rsidRPr="004829F6">
        <w:rPr>
          <w:lang w:eastAsia="fr-FR"/>
        </w:rPr>
        <w:t>celles-ci, à suspendre ou rejeter une opération de paiement ou de transfert émise et/ou reçue par le Client, qui pourrait</w:t>
      </w:r>
      <w:r w:rsidR="00251B22" w:rsidRPr="004829F6">
        <w:rPr>
          <w:lang w:eastAsia="fr-FR"/>
        </w:rPr>
        <w:t xml:space="preserve"> </w:t>
      </w:r>
      <w:r w:rsidRPr="004829F6">
        <w:rPr>
          <w:lang w:eastAsia="fr-FR"/>
        </w:rPr>
        <w:t>être ou qui, selon son analyse, serait susceptible d’être sanctionnée par toute autorité compétente, ou le cas échéant,</w:t>
      </w:r>
      <w:r w:rsidR="00251B22" w:rsidRPr="004829F6">
        <w:rPr>
          <w:lang w:eastAsia="fr-FR"/>
        </w:rPr>
        <w:t xml:space="preserve"> </w:t>
      </w:r>
      <w:r w:rsidRPr="004829F6">
        <w:rPr>
          <w:lang w:eastAsia="fr-FR"/>
        </w:rPr>
        <w:t>à bloquer les fonds et les comptes du Client ou à résilier la présente convention.</w:t>
      </w:r>
    </w:p>
    <w:p w14:paraId="0CA7F62B" w14:textId="229B8BF1" w:rsidR="000C5450" w:rsidRPr="004829F6" w:rsidRDefault="000C5450" w:rsidP="00FC6EE8">
      <w:pPr>
        <w:autoSpaceDE w:val="0"/>
        <w:autoSpaceDN w:val="0"/>
        <w:jc w:val="both"/>
      </w:pPr>
    </w:p>
    <w:p w14:paraId="4454587E" w14:textId="72D3BF99" w:rsidR="000C5450" w:rsidRPr="004829F6" w:rsidRDefault="000C5450" w:rsidP="00FC6EE8">
      <w:pPr>
        <w:autoSpaceDE w:val="0"/>
        <w:autoSpaceDN w:val="0"/>
        <w:jc w:val="both"/>
      </w:pPr>
    </w:p>
    <w:p w14:paraId="554179ED" w14:textId="6712B1D2" w:rsidR="000C5450" w:rsidRPr="004829F6" w:rsidRDefault="000C5450" w:rsidP="0070108B">
      <w:pPr>
        <w:pStyle w:val="Articles"/>
        <w:numPr>
          <w:ilvl w:val="0"/>
          <w:numId w:val="0"/>
        </w:numPr>
        <w:autoSpaceDE w:val="0"/>
        <w:autoSpaceDN w:val="0"/>
        <w:adjustRightInd w:val="0"/>
        <w:spacing w:after="0"/>
      </w:pPr>
      <w:r w:rsidRPr="004829F6">
        <w:t>ARTICLE 20 : LUTTE CONTRE LA CORRUPTION ET LE TRAFIC D’INFLUENCE</w:t>
      </w:r>
    </w:p>
    <w:p w14:paraId="533CADE3" w14:textId="77777777" w:rsidR="00980DE7" w:rsidRPr="004829F6" w:rsidRDefault="00980DE7" w:rsidP="0070108B">
      <w:pPr>
        <w:pStyle w:val="Articles"/>
        <w:numPr>
          <w:ilvl w:val="0"/>
          <w:numId w:val="0"/>
        </w:numPr>
        <w:autoSpaceDE w:val="0"/>
        <w:autoSpaceDN w:val="0"/>
        <w:adjustRightInd w:val="0"/>
        <w:spacing w:after="0"/>
        <w:rPr>
          <w:bCs/>
        </w:rPr>
      </w:pPr>
    </w:p>
    <w:p w14:paraId="4606375B" w14:textId="6E92A20D" w:rsidR="000C5450" w:rsidRPr="004829F6" w:rsidRDefault="000C5450" w:rsidP="000C5450">
      <w:pPr>
        <w:autoSpaceDE w:val="0"/>
        <w:autoSpaceDN w:val="0"/>
        <w:jc w:val="both"/>
      </w:pPr>
      <w:r w:rsidRPr="004829F6">
        <w:t>La BANQUE est tenue, dans le cadre de ses obligations légales (en particulier issues de la loi n° 2016/1691 du 9 décembre</w:t>
      </w:r>
      <w:r w:rsidR="005D08CE" w:rsidRPr="004829F6">
        <w:t xml:space="preserve"> </w:t>
      </w:r>
      <w:r w:rsidRPr="004829F6">
        <w:t>2016 relative à la transparence, à la lutte contre la corruption et à la modernisation de la vie économique) concernant</w:t>
      </w:r>
      <w:r w:rsidR="005D08CE" w:rsidRPr="004829F6">
        <w:t xml:space="preserve"> </w:t>
      </w:r>
      <w:r w:rsidRPr="004829F6">
        <w:t>la lutte contre les atteintes à la probité, dont la corruption et le trafic d’influence, de procéder à l’évaluation de l’intégrité</w:t>
      </w:r>
      <w:r w:rsidR="005D08CE" w:rsidRPr="004829F6">
        <w:t xml:space="preserve"> </w:t>
      </w:r>
      <w:r w:rsidRPr="004829F6">
        <w:t>de sa clientèle pendant toute la durée de la relation d’affaire, au regard de critères de risques tels que : les bénéficiaires</w:t>
      </w:r>
      <w:r w:rsidR="005D08CE" w:rsidRPr="004829F6">
        <w:t xml:space="preserve"> </w:t>
      </w:r>
      <w:r w:rsidRPr="004829F6">
        <w:t>effectifs, les pays de résidence et d’activité, les secteurs d’activité, la réputation, la nature et l’objet de la relation, les</w:t>
      </w:r>
      <w:r w:rsidR="005D08CE" w:rsidRPr="004829F6">
        <w:t xml:space="preserve"> </w:t>
      </w:r>
      <w:r w:rsidRPr="004829F6">
        <w:t>autres intervenants (écosystème), l’interaction avec des agents publics ou des personnes politiquement exposées (</w:t>
      </w:r>
    </w:p>
    <w:p w14:paraId="7786678F" w14:textId="133B3A1F" w:rsidR="000C5450" w:rsidRPr="004829F6" w:rsidRDefault="000C5450" w:rsidP="000C5450">
      <w:pPr>
        <w:autoSpaceDE w:val="0"/>
        <w:autoSpaceDN w:val="0"/>
        <w:jc w:val="both"/>
      </w:pPr>
      <w:r w:rsidRPr="004829F6">
        <w:t xml:space="preserve">« PPE </w:t>
      </w:r>
      <w:r w:rsidR="005D08CE" w:rsidRPr="004829F6">
        <w:t>»)</w:t>
      </w:r>
      <w:r w:rsidRPr="004829F6">
        <w:t xml:space="preserve"> définies à l’article R 561-8 du Code monétaire et financier, les aspects financiers en jeu et devises traitées.</w:t>
      </w:r>
    </w:p>
    <w:p w14:paraId="623175D3" w14:textId="77777777" w:rsidR="005D08CE" w:rsidRPr="004829F6" w:rsidRDefault="005D08CE" w:rsidP="000C5450">
      <w:pPr>
        <w:autoSpaceDE w:val="0"/>
        <w:autoSpaceDN w:val="0"/>
        <w:jc w:val="both"/>
      </w:pPr>
    </w:p>
    <w:p w14:paraId="7A3FE06B" w14:textId="77777777" w:rsidR="000C5450" w:rsidRPr="004829F6" w:rsidRDefault="000C5450" w:rsidP="000C5450">
      <w:pPr>
        <w:autoSpaceDE w:val="0"/>
        <w:autoSpaceDN w:val="0"/>
        <w:jc w:val="both"/>
      </w:pPr>
      <w:r w:rsidRPr="004829F6">
        <w:t>Le CLIENT s’engage en conséquence :</w:t>
      </w:r>
    </w:p>
    <w:p w14:paraId="050EF6F8" w14:textId="7E861A4B" w:rsidR="000C5450" w:rsidRPr="004829F6" w:rsidRDefault="000C5450" w:rsidP="000C5450">
      <w:pPr>
        <w:autoSpaceDE w:val="0"/>
        <w:autoSpaceDN w:val="0"/>
        <w:jc w:val="both"/>
      </w:pPr>
      <w:r w:rsidRPr="004829F6">
        <w:t>- à permettre à la BANQUE de satisfaire aux obligations réglementaires ci-dessus visées, notamment en lui apportant</w:t>
      </w:r>
      <w:r w:rsidR="005D08CE" w:rsidRPr="004829F6">
        <w:t xml:space="preserve"> </w:t>
      </w:r>
      <w:r w:rsidRPr="004829F6">
        <w:t>toutes les informations nécessaires ;</w:t>
      </w:r>
    </w:p>
    <w:p w14:paraId="4DC4B621" w14:textId="5ACBC2AB" w:rsidR="000C5450" w:rsidRPr="004829F6" w:rsidRDefault="000C5450" w:rsidP="000C5450">
      <w:pPr>
        <w:autoSpaceDE w:val="0"/>
        <w:autoSpaceDN w:val="0"/>
        <w:jc w:val="both"/>
      </w:pPr>
      <w:r w:rsidRPr="004829F6">
        <w:t>- à respecter les lois applicables relatives à la prévention de la corruption et du trafic d’influence, de la concussion, de la</w:t>
      </w:r>
      <w:r w:rsidR="005D08CE" w:rsidRPr="004829F6">
        <w:t xml:space="preserve"> </w:t>
      </w:r>
      <w:r w:rsidRPr="004829F6">
        <w:t>prise illégale d’intérêt, du détournement de fonds publics et du favoritisme, et à fournir sur demande les informations ou</w:t>
      </w:r>
      <w:r w:rsidR="005D08CE" w:rsidRPr="004829F6">
        <w:t xml:space="preserve"> </w:t>
      </w:r>
      <w:r w:rsidRPr="004829F6">
        <w:t>documents relatifs à son dispositif anticorruption ainsi qu’aux conflits d’intérêts potentiels avec la Banque ;</w:t>
      </w:r>
    </w:p>
    <w:p w14:paraId="53EEBD4B" w14:textId="509A0E32" w:rsidR="000C5450" w:rsidRPr="004829F6" w:rsidRDefault="000C5450" w:rsidP="000C5450">
      <w:pPr>
        <w:autoSpaceDE w:val="0"/>
        <w:autoSpaceDN w:val="0"/>
        <w:jc w:val="both"/>
      </w:pPr>
      <w:r w:rsidRPr="004829F6">
        <w:t>- à ne pas opérer sur ses comptes ouverts dans les livres de la BANQUE d’opérations financières visant ou liées à la</w:t>
      </w:r>
      <w:r w:rsidR="005D08CE" w:rsidRPr="004829F6">
        <w:t xml:space="preserve"> </w:t>
      </w:r>
      <w:r w:rsidRPr="004829F6">
        <w:t>commission d’un fait de corruption ou de trafic d’influence, de concussion, de prise illégale d’intérêt, de détournement</w:t>
      </w:r>
      <w:r w:rsidR="005D08CE" w:rsidRPr="004829F6">
        <w:t xml:space="preserve">- </w:t>
      </w:r>
      <w:r w:rsidRPr="004829F6">
        <w:t>de fonds publics ou de favoritisme, et à justifier sur demande les opérations sans objet licite apparent.</w:t>
      </w:r>
    </w:p>
    <w:p w14:paraId="411F69BC" w14:textId="776871D6" w:rsidR="005D08CE" w:rsidRPr="004829F6" w:rsidRDefault="005D08CE" w:rsidP="000C5450">
      <w:pPr>
        <w:autoSpaceDE w:val="0"/>
        <w:autoSpaceDN w:val="0"/>
        <w:jc w:val="both"/>
      </w:pPr>
    </w:p>
    <w:p w14:paraId="7CE41EA4" w14:textId="77777777" w:rsidR="005D08CE" w:rsidRPr="004829F6" w:rsidRDefault="005D08CE" w:rsidP="000C5450">
      <w:pPr>
        <w:autoSpaceDE w:val="0"/>
        <w:autoSpaceDN w:val="0"/>
        <w:jc w:val="both"/>
      </w:pPr>
    </w:p>
    <w:p w14:paraId="08E0BC1E" w14:textId="37A2ACEA" w:rsidR="000C5450" w:rsidRDefault="000C5450" w:rsidP="000C5450">
      <w:pPr>
        <w:autoSpaceDE w:val="0"/>
        <w:autoSpaceDN w:val="0"/>
        <w:jc w:val="both"/>
        <w:rPr>
          <w:b/>
          <w:bCs/>
          <w:sz w:val="20"/>
          <w:szCs w:val="20"/>
        </w:rPr>
      </w:pPr>
      <w:r w:rsidRPr="004829F6">
        <w:rPr>
          <w:b/>
          <w:bCs/>
          <w:sz w:val="20"/>
          <w:szCs w:val="20"/>
        </w:rPr>
        <w:lastRenderedPageBreak/>
        <w:t>ARTICLE 21 : POLITIQUE DE GESTION DES CONFLITS D’INTERETS</w:t>
      </w:r>
    </w:p>
    <w:p w14:paraId="76D05310" w14:textId="77777777" w:rsidR="007B6BE7" w:rsidRPr="004829F6" w:rsidRDefault="007B6BE7" w:rsidP="000C5450">
      <w:pPr>
        <w:autoSpaceDE w:val="0"/>
        <w:autoSpaceDN w:val="0"/>
        <w:jc w:val="both"/>
        <w:rPr>
          <w:b/>
          <w:bCs/>
          <w:sz w:val="20"/>
          <w:szCs w:val="20"/>
        </w:rPr>
      </w:pPr>
    </w:p>
    <w:p w14:paraId="1C85E24E" w14:textId="3F0A2E29" w:rsidR="005D08CE" w:rsidRDefault="000C5450" w:rsidP="000C5450">
      <w:pPr>
        <w:autoSpaceDE w:val="0"/>
        <w:autoSpaceDN w:val="0"/>
        <w:jc w:val="both"/>
      </w:pPr>
      <w:r w:rsidRPr="004829F6">
        <w:t>1. Principes</w:t>
      </w:r>
    </w:p>
    <w:p w14:paraId="3E8F1D76" w14:textId="77777777" w:rsidR="007B6BE7" w:rsidRPr="004829F6" w:rsidRDefault="007B6BE7" w:rsidP="000C5450">
      <w:pPr>
        <w:autoSpaceDE w:val="0"/>
        <w:autoSpaceDN w:val="0"/>
        <w:jc w:val="both"/>
      </w:pPr>
    </w:p>
    <w:p w14:paraId="4A461755" w14:textId="005E1563" w:rsidR="000C5450" w:rsidRPr="004829F6" w:rsidRDefault="000C5450" w:rsidP="000C5450">
      <w:pPr>
        <w:autoSpaceDE w:val="0"/>
        <w:autoSpaceDN w:val="0"/>
        <w:jc w:val="both"/>
      </w:pPr>
      <w:r w:rsidRPr="004829F6">
        <w:t>La primauté de l’intérêt du Mandant constitue un des fondements de la déontologie de la BANQUE. Elle est un des</w:t>
      </w:r>
      <w:r w:rsidR="005D08CE" w:rsidRPr="004829F6">
        <w:t xml:space="preserve"> </w:t>
      </w:r>
      <w:r w:rsidRPr="004829F6">
        <w:t>principes directeurs de son activité et se traduit notamment dans la politique de conflit d’intérêts visant à prévenir et à</w:t>
      </w:r>
      <w:r w:rsidR="005D08CE" w:rsidRPr="004829F6">
        <w:t xml:space="preserve"> </w:t>
      </w:r>
      <w:r w:rsidRPr="004829F6">
        <w:t>gérer les conflits d’intérêts susceptibles d’apparaître à l’occasion des opérations réalisées avec le Mandant.</w:t>
      </w:r>
    </w:p>
    <w:p w14:paraId="7667EC48" w14:textId="16BA9FCE" w:rsidR="000C5450" w:rsidRPr="004829F6" w:rsidRDefault="000C5450" w:rsidP="000C5450">
      <w:pPr>
        <w:autoSpaceDE w:val="0"/>
        <w:autoSpaceDN w:val="0"/>
        <w:jc w:val="both"/>
      </w:pPr>
      <w:r w:rsidRPr="004829F6">
        <w:t>Une situation de conflit d’intérêts est définie comme étant une situation opposant les intérêts de la BANQUE (ou de son</w:t>
      </w:r>
      <w:r w:rsidR="005D08CE" w:rsidRPr="004829F6">
        <w:t xml:space="preserve"> </w:t>
      </w:r>
      <w:r w:rsidRPr="004829F6">
        <w:t>personnel) à ceux du Mandant.</w:t>
      </w:r>
    </w:p>
    <w:p w14:paraId="6EDED24B" w14:textId="6671D07F" w:rsidR="000C5450" w:rsidRPr="004829F6" w:rsidRDefault="000C5450" w:rsidP="000C5450">
      <w:pPr>
        <w:autoSpaceDE w:val="0"/>
        <w:autoSpaceDN w:val="0"/>
        <w:jc w:val="both"/>
      </w:pPr>
      <w:r w:rsidRPr="004829F6">
        <w:t>Le dispositif de prévention et de gestion des conflits d’intérêts, élaboré par la BANQUE en application de la</w:t>
      </w:r>
      <w:r w:rsidR="005D08CE" w:rsidRPr="004829F6">
        <w:t xml:space="preserve"> </w:t>
      </w:r>
      <w:r w:rsidRPr="004829F6">
        <w:t>règlementation en la matière (notamment la Directive Marché des Instruments Financier II et le code monétaire et</w:t>
      </w:r>
      <w:r w:rsidR="005D08CE" w:rsidRPr="004829F6">
        <w:t xml:space="preserve"> </w:t>
      </w:r>
      <w:r w:rsidRPr="004829F6">
        <w:t>financier), repose sur la mise en place de mesures organisationnelles et des procédures administratives.</w:t>
      </w:r>
    </w:p>
    <w:p w14:paraId="465EEAE3" w14:textId="459A6D10" w:rsidR="000C5450" w:rsidRPr="004829F6" w:rsidRDefault="000C5450" w:rsidP="000C5450">
      <w:pPr>
        <w:autoSpaceDE w:val="0"/>
        <w:autoSpaceDN w:val="0"/>
        <w:jc w:val="both"/>
      </w:pPr>
      <w:r w:rsidRPr="004829F6">
        <w:t>Les dispositions « organisationnelles » sont celles qui relèvent de l’organisation des ressources, humaines notamment, de</w:t>
      </w:r>
      <w:r w:rsidR="005D08CE" w:rsidRPr="004829F6">
        <w:t xml:space="preserve"> </w:t>
      </w:r>
      <w:r w:rsidRPr="004829F6">
        <w:t>l’entreprise (définitions des missions et des responsabilités des collaborateurs, planification et répartition des tâches etc.).</w:t>
      </w:r>
    </w:p>
    <w:p w14:paraId="5BCD85D0" w14:textId="1EF3BC42" w:rsidR="000C5450" w:rsidRPr="004829F6" w:rsidRDefault="000C5450" w:rsidP="000C5450">
      <w:pPr>
        <w:autoSpaceDE w:val="0"/>
        <w:autoSpaceDN w:val="0"/>
        <w:jc w:val="both"/>
      </w:pPr>
      <w:r w:rsidRPr="004829F6">
        <w:t>Les procédures « administratives » sont les procédures (écrites) qui sont établies pour détecter, prévenir et traiter les</w:t>
      </w:r>
      <w:r w:rsidR="005D08CE" w:rsidRPr="004829F6">
        <w:t xml:space="preserve"> </w:t>
      </w:r>
      <w:r w:rsidRPr="004829F6">
        <w:t>situations de conflit d’intérêts.</w:t>
      </w:r>
    </w:p>
    <w:p w14:paraId="10ADD954" w14:textId="1C56DDB5" w:rsidR="000C5450" w:rsidRPr="004829F6" w:rsidRDefault="000C5450" w:rsidP="000C5450">
      <w:pPr>
        <w:autoSpaceDE w:val="0"/>
        <w:autoSpaceDN w:val="0"/>
        <w:jc w:val="both"/>
      </w:pPr>
      <w:r w:rsidRPr="004829F6">
        <w:t>Ces mesures et procédures ont notamment pour objet de prévenir les conflits d’intérêts qui pourraient survenir en</w:t>
      </w:r>
      <w:r w:rsidR="005D08CE" w:rsidRPr="004829F6">
        <w:t xml:space="preserve"> </w:t>
      </w:r>
      <w:r w:rsidRPr="004829F6">
        <w:t>élaborant une cartographie des conflits d’intérêts :</w:t>
      </w:r>
    </w:p>
    <w:p w14:paraId="4B8432EF" w14:textId="77777777" w:rsidR="005D08CE" w:rsidRPr="004829F6" w:rsidRDefault="005D08CE" w:rsidP="000C5450">
      <w:pPr>
        <w:autoSpaceDE w:val="0"/>
        <w:autoSpaceDN w:val="0"/>
        <w:jc w:val="both"/>
      </w:pPr>
    </w:p>
    <w:p w14:paraId="10849E90" w14:textId="36B2FF4A" w:rsidR="000C5450" w:rsidRPr="004829F6" w:rsidRDefault="000C5450" w:rsidP="000C5450">
      <w:pPr>
        <w:autoSpaceDE w:val="0"/>
        <w:autoSpaceDN w:val="0"/>
        <w:jc w:val="both"/>
      </w:pPr>
      <w:r w:rsidRPr="004829F6">
        <w:t>A ce titre, la BANQUE a notamment identifié les conflits d’intérêt suivants qui pourraient être susceptibles de se produire</w:t>
      </w:r>
      <w:r w:rsidR="005D08CE" w:rsidRPr="004829F6">
        <w:t xml:space="preserve"> </w:t>
      </w:r>
      <w:r w:rsidRPr="004829F6">
        <w:t>compte tenu des différentes activités de services d’investissement qu’elle exerce :</w:t>
      </w:r>
    </w:p>
    <w:p w14:paraId="537B4730" w14:textId="3108356A" w:rsidR="000C5450" w:rsidRPr="004829F6" w:rsidRDefault="000C5450" w:rsidP="000C5450">
      <w:pPr>
        <w:autoSpaceDE w:val="0"/>
        <w:autoSpaceDN w:val="0"/>
        <w:jc w:val="both"/>
      </w:pPr>
      <w:r w:rsidRPr="004829F6">
        <w:t>▪ Dans le cadre de l’activité de Gestion sous mandat : L’allocation au sein des portefeuilles pourrait s’orienter vers</w:t>
      </w:r>
      <w:r w:rsidR="005D08CE" w:rsidRPr="004829F6">
        <w:t xml:space="preserve"> </w:t>
      </w:r>
      <w:r w:rsidRPr="004829F6">
        <w:t>des produits émis par le Groupe BPCE qui seraient plus rémunérateurs pour l’établissement ou le gérant.</w:t>
      </w:r>
    </w:p>
    <w:p w14:paraId="3B66D7ED" w14:textId="77777777" w:rsidR="000C5450" w:rsidRPr="004829F6" w:rsidRDefault="000C5450" w:rsidP="000C5450">
      <w:pPr>
        <w:autoSpaceDE w:val="0"/>
        <w:autoSpaceDN w:val="0"/>
        <w:jc w:val="both"/>
      </w:pPr>
      <w:r w:rsidRPr="004829F6">
        <w:t>▪ Les établissements du Groupe BPCE distribuent des mandats de gestion pouvant être gérés par des entités du</w:t>
      </w:r>
    </w:p>
    <w:p w14:paraId="7376709E" w14:textId="77777777" w:rsidR="000C5450" w:rsidRPr="004829F6" w:rsidRDefault="000C5450" w:rsidP="000C5450">
      <w:pPr>
        <w:autoSpaceDE w:val="0"/>
        <w:autoSpaceDN w:val="0"/>
        <w:jc w:val="both"/>
      </w:pPr>
      <w:r w:rsidRPr="004829F6">
        <w:t>Groupe BPCE (par exemple VEGA IM).</w:t>
      </w:r>
    </w:p>
    <w:p w14:paraId="0FAAC787" w14:textId="2E93EDB8" w:rsidR="000C5450" w:rsidRPr="004829F6" w:rsidRDefault="000C5450" w:rsidP="000C5450">
      <w:pPr>
        <w:autoSpaceDE w:val="0"/>
        <w:autoSpaceDN w:val="0"/>
        <w:jc w:val="both"/>
      </w:pPr>
      <w:r w:rsidRPr="004829F6">
        <w:t>▪ Dans le cadre de l’activité de conseil en investissement : le Groupe BPCE exerce une activité de conseil non</w:t>
      </w:r>
      <w:r w:rsidR="005D08CE" w:rsidRPr="004829F6">
        <w:t xml:space="preserve"> </w:t>
      </w:r>
      <w:r w:rsidRPr="004829F6">
        <w:t>indépendant et est amené à commercialiser des instruments financiers internes ou de filiales du Groupe.</w:t>
      </w:r>
    </w:p>
    <w:p w14:paraId="7C136D2E" w14:textId="77777777" w:rsidR="005D08CE" w:rsidRPr="004829F6" w:rsidRDefault="005D08CE" w:rsidP="000C5450">
      <w:pPr>
        <w:autoSpaceDE w:val="0"/>
        <w:autoSpaceDN w:val="0"/>
        <w:jc w:val="both"/>
      </w:pPr>
    </w:p>
    <w:p w14:paraId="25B531A7" w14:textId="77777777" w:rsidR="000C5450" w:rsidRPr="004829F6" w:rsidRDefault="000C5450" w:rsidP="000C5450">
      <w:pPr>
        <w:autoSpaceDE w:val="0"/>
        <w:autoSpaceDN w:val="0"/>
        <w:jc w:val="both"/>
      </w:pPr>
      <w:r w:rsidRPr="004829F6">
        <w:t>A cet effet, la BANQUE prévoit :</w:t>
      </w:r>
    </w:p>
    <w:p w14:paraId="333EA292" w14:textId="77777777" w:rsidR="000C5450" w:rsidRPr="004829F6" w:rsidRDefault="000C5450" w:rsidP="000C5450">
      <w:pPr>
        <w:autoSpaceDE w:val="0"/>
        <w:autoSpaceDN w:val="0"/>
        <w:jc w:val="both"/>
      </w:pPr>
      <w:r w:rsidRPr="004829F6">
        <w:t>▪ D’établir et de maintenir opérationnelle une politique appropriée de gestion des conflits d’intérêts ;</w:t>
      </w:r>
    </w:p>
    <w:p w14:paraId="04EF78C9" w14:textId="77777777" w:rsidR="000C5450" w:rsidRPr="004829F6" w:rsidRDefault="000C5450" w:rsidP="000C5450">
      <w:pPr>
        <w:autoSpaceDE w:val="0"/>
        <w:autoSpaceDN w:val="0"/>
        <w:jc w:val="both"/>
      </w:pPr>
      <w:r w:rsidRPr="004829F6">
        <w:t>▪ De détecter les situations qui donnent lieu ou sont susceptibles de donner lieu à des conflits d’intérêts ;</w:t>
      </w:r>
    </w:p>
    <w:p w14:paraId="0694718A" w14:textId="18773099" w:rsidR="000C5450" w:rsidRPr="004829F6" w:rsidRDefault="000C5450" w:rsidP="000C5450">
      <w:pPr>
        <w:autoSpaceDE w:val="0"/>
        <w:autoSpaceDN w:val="0"/>
        <w:jc w:val="both"/>
      </w:pPr>
      <w:r w:rsidRPr="004829F6">
        <w:t>▪ De tenir et mettre à jour un registre des conflits d’intérêts consignant les services d’investissements et services</w:t>
      </w:r>
      <w:r w:rsidR="005D08CE" w:rsidRPr="004829F6">
        <w:t xml:space="preserve"> </w:t>
      </w:r>
      <w:r w:rsidRPr="004829F6">
        <w:t>connexes pour lesquels des conflits d’intérêts se sont produits ou sont susceptibles de se produire ;</w:t>
      </w:r>
    </w:p>
    <w:p w14:paraId="012CD72D" w14:textId="0499B663" w:rsidR="000C5450" w:rsidRPr="004829F6" w:rsidRDefault="000C5450" w:rsidP="000C5450">
      <w:pPr>
        <w:autoSpaceDE w:val="0"/>
        <w:autoSpaceDN w:val="0"/>
        <w:jc w:val="both"/>
      </w:pPr>
      <w:r w:rsidRPr="004829F6">
        <w:t>▪ D’informer, en mesure de dernier ressort le Mandant lorsque, pour une opération particulière, les mesures mises</w:t>
      </w:r>
      <w:r w:rsidR="005D08CE" w:rsidRPr="004829F6">
        <w:t xml:space="preserve"> </w:t>
      </w:r>
      <w:r w:rsidRPr="004829F6">
        <w:t xml:space="preserve">en </w:t>
      </w:r>
      <w:r w:rsidR="007B6BE7" w:rsidRPr="004829F6">
        <w:t>œuvre</w:t>
      </w:r>
      <w:r w:rsidRPr="004829F6">
        <w:t xml:space="preserve"> ne suffisent pas à garantir de manière raisonnable que le risque de porter atteinte aux intérêts du</w:t>
      </w:r>
      <w:r w:rsidR="005D08CE" w:rsidRPr="004829F6">
        <w:t xml:space="preserve"> </w:t>
      </w:r>
      <w:r w:rsidRPr="004829F6">
        <w:t>Mandant sera évité.</w:t>
      </w:r>
    </w:p>
    <w:p w14:paraId="304788C7" w14:textId="6D3B48F9" w:rsidR="000C5450" w:rsidRPr="004829F6" w:rsidRDefault="000C5450" w:rsidP="000C5450">
      <w:pPr>
        <w:autoSpaceDE w:val="0"/>
        <w:autoSpaceDN w:val="0"/>
        <w:jc w:val="both"/>
      </w:pPr>
      <w:r w:rsidRPr="004829F6">
        <w:t>Cette politique des conflits d’intérêts tient notamment compte de l’appartenance de la BANQUE au même Groupe (le</w:t>
      </w:r>
    </w:p>
    <w:p w14:paraId="4357134F" w14:textId="676194FC" w:rsidR="000C5450" w:rsidRPr="004829F6" w:rsidRDefault="000C5450" w:rsidP="000C5450">
      <w:pPr>
        <w:autoSpaceDE w:val="0"/>
        <w:autoSpaceDN w:val="0"/>
        <w:jc w:val="both"/>
      </w:pPr>
      <w:r w:rsidRPr="004829F6">
        <w:t>Groupe BPCE) pouvant induire d’éventuels conflits d’intérêts entre les Clients et les entités de ce Groupe.</w:t>
      </w:r>
    </w:p>
    <w:p w14:paraId="259D7A44" w14:textId="77777777" w:rsidR="005D08CE" w:rsidRPr="004829F6" w:rsidRDefault="005D08CE" w:rsidP="000C5450">
      <w:pPr>
        <w:autoSpaceDE w:val="0"/>
        <w:autoSpaceDN w:val="0"/>
        <w:jc w:val="both"/>
      </w:pPr>
    </w:p>
    <w:p w14:paraId="7E8C9AF2" w14:textId="77777777" w:rsidR="000C5450" w:rsidRPr="004829F6" w:rsidRDefault="000C5450" w:rsidP="000C5450">
      <w:pPr>
        <w:autoSpaceDE w:val="0"/>
        <w:autoSpaceDN w:val="0"/>
        <w:jc w:val="both"/>
      </w:pPr>
      <w:r w:rsidRPr="004829F6">
        <w:t>2. Mesures préventives</w:t>
      </w:r>
    </w:p>
    <w:p w14:paraId="5484F5F0" w14:textId="77777777" w:rsidR="005D08CE" w:rsidRPr="004829F6" w:rsidRDefault="005D08CE" w:rsidP="000C5450">
      <w:pPr>
        <w:autoSpaceDE w:val="0"/>
        <w:autoSpaceDN w:val="0"/>
        <w:jc w:val="both"/>
      </w:pPr>
    </w:p>
    <w:p w14:paraId="11473749" w14:textId="65BF1F7D" w:rsidR="000C5450" w:rsidRPr="004829F6" w:rsidRDefault="000C5450" w:rsidP="000C5450">
      <w:pPr>
        <w:autoSpaceDE w:val="0"/>
        <w:autoSpaceDN w:val="0"/>
        <w:jc w:val="both"/>
      </w:pPr>
      <w:r w:rsidRPr="004829F6">
        <w:t>La BANQUE s’assure du respect par son personnel des obligations professionnelles auxquelles elle est soumise dans</w:t>
      </w:r>
      <w:r w:rsidR="005D08CE" w:rsidRPr="004829F6">
        <w:t xml:space="preserve"> </w:t>
      </w:r>
      <w:r w:rsidRPr="004829F6">
        <w:t>l’exercice de ses activités et du respect des dispositions règlementaires applicables à ces dernières. Elle s’assure</w:t>
      </w:r>
      <w:r w:rsidR="005D08CE" w:rsidRPr="004829F6">
        <w:t xml:space="preserve">- </w:t>
      </w:r>
      <w:r w:rsidRPr="004829F6">
        <w:t>notamment que chaque collaborateur agit de manière honnête loyale et équitable lors de l’exercice de ses fonctions.</w:t>
      </w:r>
    </w:p>
    <w:p w14:paraId="7420AF67" w14:textId="50416A0E" w:rsidR="000C5450" w:rsidRPr="004829F6" w:rsidRDefault="000C5450" w:rsidP="000C5450">
      <w:pPr>
        <w:autoSpaceDE w:val="0"/>
        <w:autoSpaceDN w:val="0"/>
        <w:jc w:val="both"/>
      </w:pPr>
      <w:r w:rsidRPr="004829F6">
        <w:t>La fonction « Conformité » de chaque établissement, fonction indépendante, est chargée d’y veiller.</w:t>
      </w:r>
    </w:p>
    <w:p w14:paraId="788E834F" w14:textId="77777777" w:rsidR="005D08CE" w:rsidRPr="004829F6" w:rsidRDefault="005D08CE" w:rsidP="000C5450">
      <w:pPr>
        <w:autoSpaceDE w:val="0"/>
        <w:autoSpaceDN w:val="0"/>
        <w:jc w:val="both"/>
      </w:pPr>
    </w:p>
    <w:p w14:paraId="0A513C39" w14:textId="7A817B5A" w:rsidR="000C5450" w:rsidRPr="004829F6" w:rsidRDefault="000C5450" w:rsidP="000C5450">
      <w:pPr>
        <w:autoSpaceDE w:val="0"/>
        <w:autoSpaceDN w:val="0"/>
        <w:jc w:val="both"/>
      </w:pPr>
      <w:r w:rsidRPr="004829F6">
        <w:t>Dans ce cadre, des mesures d’organisation et des règles de procédure ont été mises en place pour prévenir les conflits</w:t>
      </w:r>
      <w:r w:rsidR="005D08CE" w:rsidRPr="004829F6">
        <w:t xml:space="preserve"> </w:t>
      </w:r>
      <w:r w:rsidRPr="004829F6">
        <w:t>d’intérêts, en particulier :</w:t>
      </w:r>
    </w:p>
    <w:p w14:paraId="176BF7CC" w14:textId="45DDCA32" w:rsidR="000C5450" w:rsidRPr="004829F6" w:rsidRDefault="000C5450" w:rsidP="000C5450">
      <w:pPr>
        <w:autoSpaceDE w:val="0"/>
        <w:autoSpaceDN w:val="0"/>
        <w:jc w:val="both"/>
      </w:pPr>
      <w:r w:rsidRPr="004829F6">
        <w:t>▪ des règles de déontologie imposant une obligation de discrétion ou de confidentialité pour toute information</w:t>
      </w:r>
      <w:r w:rsidR="005D08CE" w:rsidRPr="004829F6">
        <w:t xml:space="preserve"> </w:t>
      </w:r>
      <w:r w:rsidRPr="004829F6">
        <w:t>recueillie à l’occasion d’opérations avec la clientèle et visant à assurer l’équité et la loyauté requises dans les</w:t>
      </w:r>
      <w:r w:rsidR="005D08CE" w:rsidRPr="004829F6">
        <w:t xml:space="preserve"> </w:t>
      </w:r>
      <w:r w:rsidRPr="004829F6">
        <w:t>relations avec les clients ;</w:t>
      </w:r>
    </w:p>
    <w:p w14:paraId="53771474" w14:textId="6B60E82A" w:rsidR="000C5450" w:rsidRPr="004829F6" w:rsidRDefault="000C5450" w:rsidP="000C5450">
      <w:pPr>
        <w:autoSpaceDE w:val="0"/>
        <w:autoSpaceDN w:val="0"/>
        <w:jc w:val="both"/>
      </w:pPr>
      <w:r w:rsidRPr="004829F6">
        <w:t>▪ la séparation hiérarchique et physique entre les activités pouvant entraîner des conflits d’intérêts (par exemple,</w:t>
      </w:r>
      <w:r w:rsidR="005D08CE" w:rsidRPr="004829F6">
        <w:t xml:space="preserve"> </w:t>
      </w:r>
      <w:r w:rsidRPr="004829F6">
        <w:t>entre l’activité pour le compte des clients et l’activité pour le compte propre des établissements) et visant à</w:t>
      </w:r>
      <w:r w:rsidR="005D08CE" w:rsidRPr="004829F6">
        <w:t xml:space="preserve"> </w:t>
      </w:r>
      <w:r w:rsidRPr="004829F6">
        <w:t>empêcher toute transmission indue d’informations confidentielles ou privilégiées ;</w:t>
      </w:r>
    </w:p>
    <w:p w14:paraId="77906DF9" w14:textId="62D40FAA" w:rsidR="000C5450" w:rsidRPr="004829F6" w:rsidRDefault="000C5450" w:rsidP="000C5450">
      <w:pPr>
        <w:autoSpaceDE w:val="0"/>
        <w:autoSpaceDN w:val="0"/>
        <w:jc w:val="both"/>
      </w:pPr>
      <w:r w:rsidRPr="004829F6">
        <w:t>▪ l’identification et le contrôle des rémunérations reçues ou versées par les établissements à l’occasion des</w:t>
      </w:r>
      <w:r w:rsidR="005D08CE" w:rsidRPr="004829F6">
        <w:t xml:space="preserve"> </w:t>
      </w:r>
      <w:r w:rsidRPr="004829F6">
        <w:t>opérations réalisées avec les clients afin de s’assurer que cela ne nuit pas aux intérêts du client et que cela</w:t>
      </w:r>
      <w:r w:rsidR="005D08CE" w:rsidRPr="004829F6">
        <w:t xml:space="preserve"> </w:t>
      </w:r>
      <w:r w:rsidRPr="004829F6">
        <w:t>améliore la qualité du service rendu au client ;</w:t>
      </w:r>
    </w:p>
    <w:p w14:paraId="024FA08B" w14:textId="496DCC5B" w:rsidR="000C5450" w:rsidRPr="004829F6" w:rsidRDefault="000C5450" w:rsidP="000C5450">
      <w:pPr>
        <w:autoSpaceDE w:val="0"/>
        <w:autoSpaceDN w:val="0"/>
        <w:jc w:val="both"/>
      </w:pPr>
      <w:r w:rsidRPr="004829F6">
        <w:lastRenderedPageBreak/>
        <w:t>▪ la transparence en matière de rémunération du personnel ; afin notamment de s’assurer que les critères de</w:t>
      </w:r>
      <w:r w:rsidR="005D08CE" w:rsidRPr="004829F6">
        <w:t xml:space="preserve"> </w:t>
      </w:r>
      <w:r w:rsidRPr="004829F6">
        <w:t>rémunérations mis en place au sein de la BANQUE permettent aux collaborateurs d’agir de manière honnête,</w:t>
      </w:r>
      <w:r w:rsidR="005D08CE" w:rsidRPr="004829F6">
        <w:t xml:space="preserve"> </w:t>
      </w:r>
      <w:r w:rsidRPr="004829F6">
        <w:t>loyale, équitable et professionnelle en servant au mieux les intérêts des clients ;</w:t>
      </w:r>
    </w:p>
    <w:p w14:paraId="6BE917CA" w14:textId="16A55F05" w:rsidR="000C5450" w:rsidRPr="004829F6" w:rsidRDefault="000C5450" w:rsidP="000C5450">
      <w:pPr>
        <w:autoSpaceDE w:val="0"/>
        <w:autoSpaceDN w:val="0"/>
        <w:jc w:val="both"/>
      </w:pPr>
      <w:r w:rsidRPr="004829F6">
        <w:t>▪ la transparence en matière de cadeaux ou avantages reçus (dont les dons) par un collaborateur dans le cadre</w:t>
      </w:r>
      <w:r w:rsidR="005D08CE" w:rsidRPr="004829F6">
        <w:t xml:space="preserve"> </w:t>
      </w:r>
      <w:r w:rsidRPr="004829F6">
        <w:t>des activités professionnelles ;</w:t>
      </w:r>
    </w:p>
    <w:p w14:paraId="795F4C2B" w14:textId="0C038AB5" w:rsidR="000C5450" w:rsidRPr="004829F6" w:rsidRDefault="000C5450" w:rsidP="000C5450">
      <w:pPr>
        <w:autoSpaceDE w:val="0"/>
        <w:autoSpaceDN w:val="0"/>
        <w:jc w:val="both"/>
      </w:pPr>
      <w:r w:rsidRPr="004829F6">
        <w:t>▪ la transparence des mandats sociaux exercés par les dirigeants des établissements et/ou leurs collaborateurs</w:t>
      </w:r>
      <w:r w:rsidR="005D08CE" w:rsidRPr="004829F6">
        <w:t xml:space="preserve"> </w:t>
      </w:r>
      <w:r w:rsidRPr="004829F6">
        <w:t>dans le cadre de leurs fonctions professionnelles ou à titre privé ;</w:t>
      </w:r>
    </w:p>
    <w:p w14:paraId="57FA0A3A" w14:textId="77777777" w:rsidR="000C5450" w:rsidRPr="004829F6" w:rsidRDefault="000C5450" w:rsidP="000C5450">
      <w:pPr>
        <w:autoSpaceDE w:val="0"/>
        <w:autoSpaceDN w:val="0"/>
        <w:jc w:val="both"/>
      </w:pPr>
      <w:r w:rsidRPr="004829F6">
        <w:t>▪ la transparence des intérêts externes déclarés par les dirigeants des établissements et/ou leurs collaborateurs</w:t>
      </w:r>
    </w:p>
    <w:p w14:paraId="479A33A9" w14:textId="6D21E9ED" w:rsidR="000C5450" w:rsidRPr="004829F6" w:rsidRDefault="000C5450" w:rsidP="000C5450">
      <w:pPr>
        <w:autoSpaceDE w:val="0"/>
        <w:autoSpaceDN w:val="0"/>
        <w:jc w:val="both"/>
      </w:pPr>
      <w:r w:rsidRPr="004829F6">
        <w:t>▪ un dispositif pour encadrer la commercialisation des instruments financiers proposés au client afin de s’assurer</w:t>
      </w:r>
      <w:r w:rsidR="005D08CE" w:rsidRPr="004829F6">
        <w:t xml:space="preserve"> </w:t>
      </w:r>
      <w:r w:rsidRPr="004829F6">
        <w:t>que le produit proposé est en adéquation avec le profil du Client.</w:t>
      </w:r>
    </w:p>
    <w:p w14:paraId="62B97BF6" w14:textId="77777777" w:rsidR="005D08CE" w:rsidRPr="004829F6" w:rsidRDefault="005D08CE" w:rsidP="000C5450">
      <w:pPr>
        <w:autoSpaceDE w:val="0"/>
        <w:autoSpaceDN w:val="0"/>
        <w:jc w:val="both"/>
      </w:pPr>
    </w:p>
    <w:p w14:paraId="01BCB8E2" w14:textId="001C8F7E" w:rsidR="000C5450" w:rsidRPr="004829F6" w:rsidRDefault="000C5450" w:rsidP="000C5450">
      <w:pPr>
        <w:autoSpaceDE w:val="0"/>
        <w:autoSpaceDN w:val="0"/>
        <w:jc w:val="both"/>
      </w:pPr>
      <w:r w:rsidRPr="004829F6">
        <w:t>3. Mesures de contrôle</w:t>
      </w:r>
    </w:p>
    <w:p w14:paraId="3155FB9E" w14:textId="77777777" w:rsidR="005D08CE" w:rsidRPr="004829F6" w:rsidRDefault="005D08CE" w:rsidP="000C5450">
      <w:pPr>
        <w:autoSpaceDE w:val="0"/>
        <w:autoSpaceDN w:val="0"/>
        <w:jc w:val="both"/>
      </w:pPr>
    </w:p>
    <w:p w14:paraId="2E6481CD" w14:textId="17F69F20" w:rsidR="005D08CE" w:rsidRDefault="000C5450" w:rsidP="000C5450">
      <w:pPr>
        <w:autoSpaceDE w:val="0"/>
        <w:autoSpaceDN w:val="0"/>
        <w:jc w:val="both"/>
      </w:pPr>
      <w:r w:rsidRPr="004829F6">
        <w:t>Le dispositif de contrôle mis en place au sein de la BANQUE vise à s’assurer de l’efficience du dispositif mis en place pour</w:t>
      </w:r>
      <w:r w:rsidR="005D08CE" w:rsidRPr="004829F6">
        <w:t xml:space="preserve"> </w:t>
      </w:r>
      <w:r w:rsidRPr="004829F6">
        <w:t>garantir la primauté de l’intérêt du Mandant dans les différents services et produits proposés et s’assurer que les</w:t>
      </w:r>
      <w:r w:rsidR="005D08CE" w:rsidRPr="004829F6">
        <w:t xml:space="preserve"> </w:t>
      </w:r>
      <w:r w:rsidRPr="004829F6">
        <w:t>collaborateurs agissent de manière honnête, loyale et impartiale.</w:t>
      </w:r>
    </w:p>
    <w:p w14:paraId="4D989663" w14:textId="77777777" w:rsidR="007B6BE7" w:rsidRPr="004829F6" w:rsidRDefault="007B6BE7" w:rsidP="000C5450">
      <w:pPr>
        <w:autoSpaceDE w:val="0"/>
        <w:autoSpaceDN w:val="0"/>
        <w:jc w:val="both"/>
      </w:pPr>
    </w:p>
    <w:p w14:paraId="5BCE38DB" w14:textId="77777777" w:rsidR="000C5450" w:rsidRPr="004829F6" w:rsidRDefault="000C5450" w:rsidP="000C5450">
      <w:pPr>
        <w:autoSpaceDE w:val="0"/>
        <w:autoSpaceDN w:val="0"/>
        <w:jc w:val="both"/>
      </w:pPr>
      <w:r w:rsidRPr="004829F6">
        <w:t>Les différents contrôles déployés par la BANQUE visent notamment à s’assurer que les dispositifs en place :</w:t>
      </w:r>
    </w:p>
    <w:p w14:paraId="11681130" w14:textId="77777777" w:rsidR="000C5450" w:rsidRPr="004829F6" w:rsidRDefault="000C5450" w:rsidP="000C5450">
      <w:pPr>
        <w:autoSpaceDE w:val="0"/>
        <w:autoSpaceDN w:val="0"/>
        <w:jc w:val="both"/>
      </w:pPr>
      <w:r w:rsidRPr="004829F6">
        <w:t>▪ Limitent les risques de conflit d’intérêts dans l’exercice de l’activité de la BANQUE ;</w:t>
      </w:r>
    </w:p>
    <w:p w14:paraId="14B7A1D8" w14:textId="5246C254" w:rsidR="000C5450" w:rsidRPr="004829F6" w:rsidRDefault="000C5450" w:rsidP="000C5450">
      <w:pPr>
        <w:autoSpaceDE w:val="0"/>
        <w:autoSpaceDN w:val="0"/>
        <w:jc w:val="both"/>
      </w:pPr>
      <w:r w:rsidRPr="004829F6">
        <w:t>▪ Encadrent les conflits d’intérêts lorsqu’ils se présentent pour garantir qu’ils ne sont pas susceptibles de léser les</w:t>
      </w:r>
      <w:r w:rsidR="005D08CE" w:rsidRPr="004829F6">
        <w:t xml:space="preserve"> </w:t>
      </w:r>
      <w:r w:rsidRPr="004829F6">
        <w:t>intérêts des clients ;</w:t>
      </w:r>
    </w:p>
    <w:p w14:paraId="63C8A1E6" w14:textId="77777777" w:rsidR="000C5450" w:rsidRPr="004829F6" w:rsidRDefault="000C5450" w:rsidP="000C5450">
      <w:pPr>
        <w:autoSpaceDE w:val="0"/>
        <w:autoSpaceDN w:val="0"/>
        <w:jc w:val="both"/>
      </w:pPr>
      <w:r w:rsidRPr="004829F6">
        <w:t>▪ Atténuent les conflits d’intérêts ;</w:t>
      </w:r>
    </w:p>
    <w:p w14:paraId="22F7EADE" w14:textId="77777777" w:rsidR="000C5450" w:rsidRPr="004829F6" w:rsidRDefault="000C5450" w:rsidP="000C5450">
      <w:pPr>
        <w:autoSpaceDE w:val="0"/>
        <w:autoSpaceDN w:val="0"/>
        <w:jc w:val="both"/>
      </w:pPr>
      <w:r w:rsidRPr="004829F6">
        <w:t>▪ Sont efficaces et correctement appliqués.</w:t>
      </w:r>
    </w:p>
    <w:p w14:paraId="5649FFD7" w14:textId="77777777" w:rsidR="005D08CE" w:rsidRPr="004829F6" w:rsidRDefault="005D08CE" w:rsidP="000C5450">
      <w:pPr>
        <w:autoSpaceDE w:val="0"/>
        <w:autoSpaceDN w:val="0"/>
        <w:jc w:val="both"/>
      </w:pPr>
    </w:p>
    <w:p w14:paraId="64A659A0" w14:textId="4959DAEB" w:rsidR="000C5450" w:rsidRPr="004829F6" w:rsidRDefault="000C5450" w:rsidP="000C5450">
      <w:pPr>
        <w:autoSpaceDE w:val="0"/>
        <w:autoSpaceDN w:val="0"/>
        <w:jc w:val="both"/>
      </w:pPr>
      <w:r w:rsidRPr="004829F6">
        <w:t>Lorsque le contrôle des dispositifs conflits d’intérêts révèle des dysfonctionnements, la Direction de la Conformité définit</w:t>
      </w:r>
      <w:r w:rsidR="005D08CE" w:rsidRPr="004829F6">
        <w:t xml:space="preserve"> </w:t>
      </w:r>
      <w:r w:rsidRPr="004829F6">
        <w:t>un plan d’actions et prend des mesures correctives. Un suivi de ces mesures doit être assuré.</w:t>
      </w:r>
    </w:p>
    <w:p w14:paraId="774FA292" w14:textId="77777777" w:rsidR="005D08CE" w:rsidRPr="004829F6" w:rsidRDefault="005D08CE" w:rsidP="000C5450">
      <w:pPr>
        <w:autoSpaceDE w:val="0"/>
        <w:autoSpaceDN w:val="0"/>
        <w:jc w:val="both"/>
      </w:pPr>
    </w:p>
    <w:p w14:paraId="5CC9389F" w14:textId="24B60E4F" w:rsidR="000C5450" w:rsidRPr="004829F6" w:rsidRDefault="000C5450" w:rsidP="000C5450">
      <w:pPr>
        <w:autoSpaceDE w:val="0"/>
        <w:autoSpaceDN w:val="0"/>
        <w:jc w:val="both"/>
      </w:pPr>
      <w:r w:rsidRPr="004829F6">
        <w:t>4. Traitement des situations de conflit d'intérêts et information des Clients</w:t>
      </w:r>
    </w:p>
    <w:p w14:paraId="11FBD2BD" w14:textId="77777777" w:rsidR="005D08CE" w:rsidRPr="004829F6" w:rsidRDefault="005D08CE" w:rsidP="000C5450">
      <w:pPr>
        <w:autoSpaceDE w:val="0"/>
        <w:autoSpaceDN w:val="0"/>
        <w:jc w:val="both"/>
      </w:pPr>
    </w:p>
    <w:p w14:paraId="2E8E2260" w14:textId="1F7977F6" w:rsidR="000C5450" w:rsidRPr="004829F6" w:rsidRDefault="000C5450" w:rsidP="000C5450">
      <w:pPr>
        <w:autoSpaceDE w:val="0"/>
        <w:autoSpaceDN w:val="0"/>
        <w:jc w:val="both"/>
      </w:pPr>
      <w:r w:rsidRPr="004829F6">
        <w:t>Lorsqu’un conflit d’intérêts, qu’il soit potentiel ou avéré, est identifié et remonté au sein de la BANQUE, la Direction de la</w:t>
      </w:r>
    </w:p>
    <w:p w14:paraId="1DC984F5" w14:textId="77777777" w:rsidR="000C5450" w:rsidRPr="004829F6" w:rsidRDefault="000C5450" w:rsidP="000C5450">
      <w:pPr>
        <w:autoSpaceDE w:val="0"/>
        <w:autoSpaceDN w:val="0"/>
        <w:jc w:val="both"/>
      </w:pPr>
      <w:r w:rsidRPr="004829F6">
        <w:t>Conformité :</w:t>
      </w:r>
    </w:p>
    <w:p w14:paraId="7BB9F578" w14:textId="3816BAF9" w:rsidR="000C5450" w:rsidRPr="004829F6" w:rsidRDefault="000C5450" w:rsidP="000C5450">
      <w:pPr>
        <w:autoSpaceDE w:val="0"/>
        <w:autoSpaceDN w:val="0"/>
        <w:jc w:val="both"/>
      </w:pPr>
      <w:r w:rsidRPr="004829F6">
        <w:t>▪ Analyse la situation de conflit d’intérêts potentiel ou avéré sur la base des éléments qui lui sont communiqués</w:t>
      </w:r>
      <w:r w:rsidR="00897AF9" w:rsidRPr="004829F6">
        <w:t xml:space="preserve"> </w:t>
      </w:r>
      <w:r w:rsidRPr="004829F6">
        <w:t>afin d’évaluer les différents impacts susceptibles d’affecter les intérêts des clients ;</w:t>
      </w:r>
    </w:p>
    <w:p w14:paraId="5C63CF77" w14:textId="54E5E6CC" w:rsidR="000C5450" w:rsidRPr="004829F6" w:rsidRDefault="000C5450" w:rsidP="000C5450">
      <w:pPr>
        <w:autoSpaceDE w:val="0"/>
        <w:autoSpaceDN w:val="0"/>
        <w:jc w:val="both"/>
      </w:pPr>
      <w:r w:rsidRPr="004829F6">
        <w:t>▪ Propose avec l’aide de la Direction Métier concernée une solution visant à éviter le conflit d’intérêt ou le résoudre</w:t>
      </w:r>
      <w:r w:rsidR="00897AF9" w:rsidRPr="004829F6">
        <w:t xml:space="preserve"> </w:t>
      </w:r>
      <w:r w:rsidRPr="004829F6">
        <w:t>par exemple en prenant notamment des mesures d’atténuation adaptées et justifiées à la situation en présence.</w:t>
      </w:r>
      <w:r w:rsidR="00897AF9" w:rsidRPr="004829F6">
        <w:t xml:space="preserve"> </w:t>
      </w:r>
      <w:r w:rsidRPr="004829F6">
        <w:t>Lorsque des mesures d’atténuation sont proposées, la BANQUE en assure un suivi.</w:t>
      </w:r>
    </w:p>
    <w:p w14:paraId="7BF31572" w14:textId="77777777" w:rsidR="00897AF9" w:rsidRPr="004829F6" w:rsidRDefault="00897AF9" w:rsidP="000C5450">
      <w:pPr>
        <w:autoSpaceDE w:val="0"/>
        <w:autoSpaceDN w:val="0"/>
        <w:jc w:val="both"/>
      </w:pPr>
    </w:p>
    <w:p w14:paraId="43108A44" w14:textId="0C82408D" w:rsidR="000C5450" w:rsidRPr="004829F6" w:rsidRDefault="000C5450" w:rsidP="000C5450">
      <w:pPr>
        <w:autoSpaceDE w:val="0"/>
        <w:autoSpaceDN w:val="0"/>
        <w:jc w:val="both"/>
      </w:pPr>
      <w:r w:rsidRPr="004829F6">
        <w:t>En dernier ressort et si en dépit des différentes mesures prises par la BANQUE, le conflit d’intérêts ne peut être résolu, et</w:t>
      </w:r>
      <w:r w:rsidR="00897AF9" w:rsidRPr="004829F6">
        <w:t xml:space="preserve"> </w:t>
      </w:r>
      <w:r w:rsidRPr="004829F6">
        <w:t>que le risque de porter atteinte aux intérêts du client ne peut être évité, la BANQUE informe le Client sur un support durable</w:t>
      </w:r>
      <w:r w:rsidR="00897AF9" w:rsidRPr="004829F6">
        <w:t xml:space="preserve"> </w:t>
      </w:r>
      <w:r w:rsidRPr="004829F6">
        <w:t>de la nature exacte et de la source du conflit d’intérêts afin que ce dernier puisse prendre sa décision en toute</w:t>
      </w:r>
      <w:r w:rsidR="00897AF9" w:rsidRPr="004829F6">
        <w:t xml:space="preserve"> </w:t>
      </w:r>
      <w:r w:rsidRPr="004829F6">
        <w:t>connaissance de cause.</w:t>
      </w:r>
    </w:p>
    <w:p w14:paraId="2025878D" w14:textId="77777777" w:rsidR="00897AF9" w:rsidRPr="004829F6" w:rsidRDefault="00897AF9" w:rsidP="000C5450">
      <w:pPr>
        <w:autoSpaceDE w:val="0"/>
        <w:autoSpaceDN w:val="0"/>
        <w:jc w:val="both"/>
      </w:pPr>
    </w:p>
    <w:p w14:paraId="406A4B04" w14:textId="2D51DEEA" w:rsidR="000C5450" w:rsidRPr="004829F6" w:rsidRDefault="000C5450" w:rsidP="000C5450">
      <w:pPr>
        <w:autoSpaceDE w:val="0"/>
        <w:autoSpaceDN w:val="0"/>
        <w:jc w:val="both"/>
      </w:pPr>
      <w:r w:rsidRPr="004829F6">
        <w:t>Toute information complémentaire sur cette politique de prévention et de gestion des conflits d’intérêts peut être</w:t>
      </w:r>
      <w:r w:rsidR="00897AF9" w:rsidRPr="004829F6">
        <w:t xml:space="preserve"> </w:t>
      </w:r>
      <w:r w:rsidRPr="004829F6">
        <w:t>obtenue en adressant une demande écrite à la BANQUE ou en consultant le détail de cette politique sur le site internet</w:t>
      </w:r>
      <w:r w:rsidR="00897AF9" w:rsidRPr="004829F6">
        <w:t xml:space="preserve"> </w:t>
      </w:r>
      <w:r w:rsidRPr="004829F6">
        <w:t>de la BANQUE.</w:t>
      </w:r>
    </w:p>
    <w:p w14:paraId="38E18550" w14:textId="7C4995F3" w:rsidR="00E06CDD" w:rsidRPr="004829F6" w:rsidRDefault="00E06CDD" w:rsidP="000C5450">
      <w:pPr>
        <w:autoSpaceDE w:val="0"/>
        <w:autoSpaceDN w:val="0"/>
        <w:jc w:val="both"/>
      </w:pPr>
    </w:p>
    <w:p w14:paraId="2E0A76F3" w14:textId="3E197E51" w:rsidR="007B6BE7" w:rsidRDefault="007B6BE7">
      <w:pPr>
        <w:spacing w:after="0"/>
      </w:pPr>
      <w:r>
        <w:br w:type="page"/>
      </w:r>
    </w:p>
    <w:p w14:paraId="730FCC8E" w14:textId="77777777" w:rsidR="00E06CDD" w:rsidRPr="004829F6" w:rsidRDefault="00E06CDD" w:rsidP="000C5450">
      <w:pPr>
        <w:autoSpaceDE w:val="0"/>
        <w:autoSpaceDN w:val="0"/>
        <w:jc w:val="both"/>
      </w:pPr>
    </w:p>
    <w:p w14:paraId="2E5089D2" w14:textId="77777777" w:rsidR="00E06CDD" w:rsidRPr="004829F6" w:rsidRDefault="00E06CDD" w:rsidP="000C5450">
      <w:pPr>
        <w:autoSpaceDE w:val="0"/>
        <w:autoSpaceDN w:val="0"/>
        <w:jc w:val="both"/>
      </w:pPr>
    </w:p>
    <w:p w14:paraId="7F965F7C" w14:textId="5B8DCF63" w:rsidR="00DB7096" w:rsidRPr="004829F6" w:rsidRDefault="00897AF9" w:rsidP="00897AF9">
      <w:pPr>
        <w:pStyle w:val="Articles"/>
        <w:numPr>
          <w:ilvl w:val="0"/>
          <w:numId w:val="0"/>
        </w:numPr>
        <w:rPr>
          <w:bCs/>
        </w:rPr>
      </w:pPr>
      <w:r w:rsidRPr="004829F6">
        <w:rPr>
          <w:bCs/>
        </w:rPr>
        <w:t> Article 22 :</w:t>
      </w:r>
      <w:r w:rsidR="00DB7096" w:rsidRPr="004829F6">
        <w:rPr>
          <w:bCs/>
        </w:rPr>
        <w:t> Réclamation client</w:t>
      </w:r>
    </w:p>
    <w:p w14:paraId="4BD8F717" w14:textId="77777777" w:rsidR="00874739" w:rsidRPr="004829F6" w:rsidRDefault="00874739" w:rsidP="004B6E27">
      <w:pPr>
        <w:spacing w:after="0"/>
        <w:jc w:val="both"/>
        <w:rPr>
          <w:rFonts w:cs="Arial"/>
          <w:szCs w:val="18"/>
        </w:rPr>
      </w:pPr>
    </w:p>
    <w:p w14:paraId="023ABFE4" w14:textId="77777777" w:rsidR="00874739" w:rsidRPr="004829F6" w:rsidRDefault="00874739" w:rsidP="00874739">
      <w:pPr>
        <w:pStyle w:val="Default"/>
        <w:spacing w:after="15"/>
        <w:rPr>
          <w:rFonts w:ascii="Century Gothic" w:hAnsi="Century Gothic"/>
          <w:sz w:val="18"/>
          <w:szCs w:val="18"/>
        </w:rPr>
      </w:pPr>
      <w:r w:rsidRPr="004829F6">
        <w:rPr>
          <w:rFonts w:ascii="Century Gothic" w:hAnsi="Century Gothic"/>
          <w:sz w:val="18"/>
          <w:szCs w:val="18"/>
        </w:rPr>
        <w:t>En cas de difficultés concernant ce service, le Client peut obtenir de son agence toutes les informations souhaitées, formuler auprès d’elle toute réclamation et, en cas de difficultés persistantes, saisir le service en charge des réclamations de BANQUE POPULAIRE RIVES DE PARIS qui s'efforce de trouver avec lui une solution.</w:t>
      </w:r>
    </w:p>
    <w:p w14:paraId="22E041FB" w14:textId="77777777" w:rsidR="00874739" w:rsidRPr="004829F6" w:rsidRDefault="00874739" w:rsidP="00874739">
      <w:pPr>
        <w:pStyle w:val="Default"/>
        <w:spacing w:after="15"/>
        <w:rPr>
          <w:rFonts w:ascii="Century Gothic" w:hAnsi="Century Gothic"/>
          <w:sz w:val="18"/>
          <w:szCs w:val="18"/>
        </w:rPr>
      </w:pPr>
      <w:r w:rsidRPr="004829F6">
        <w:rPr>
          <w:rFonts w:ascii="Century Gothic" w:hAnsi="Century Gothic"/>
          <w:sz w:val="18"/>
          <w:szCs w:val="18"/>
        </w:rPr>
        <w:t>Par courrier à l’adresse suivante :</w:t>
      </w:r>
    </w:p>
    <w:p w14:paraId="104FFDD9" w14:textId="77777777" w:rsidR="00874739" w:rsidRPr="004829F6" w:rsidRDefault="00874739" w:rsidP="00874739">
      <w:pPr>
        <w:pStyle w:val="Default"/>
        <w:spacing w:after="15"/>
        <w:rPr>
          <w:rFonts w:ascii="Century Gothic" w:hAnsi="Century Gothic"/>
          <w:sz w:val="18"/>
          <w:szCs w:val="18"/>
        </w:rPr>
      </w:pPr>
      <w:r w:rsidRPr="004829F6">
        <w:rPr>
          <w:rFonts w:ascii="Century Gothic" w:hAnsi="Century Gothic"/>
          <w:sz w:val="18"/>
          <w:szCs w:val="18"/>
        </w:rPr>
        <w:t>Service Satisfaction Clients 80 boulevard Auguste Blanqui 75204 PARIS Cedex 13</w:t>
      </w:r>
    </w:p>
    <w:p w14:paraId="67CA3922" w14:textId="77777777" w:rsidR="00874739" w:rsidRPr="004829F6" w:rsidRDefault="00874739" w:rsidP="00874739">
      <w:pPr>
        <w:pStyle w:val="Default"/>
        <w:spacing w:after="15"/>
        <w:rPr>
          <w:rFonts w:ascii="Century Gothic" w:hAnsi="Century Gothic"/>
          <w:sz w:val="18"/>
          <w:szCs w:val="18"/>
        </w:rPr>
      </w:pPr>
      <w:r w:rsidRPr="004829F6">
        <w:rPr>
          <w:rFonts w:ascii="Century Gothic" w:hAnsi="Century Gothic"/>
          <w:sz w:val="18"/>
          <w:szCs w:val="18"/>
        </w:rPr>
        <w:t>Ou par internet : www.banquepopulaire.fr/rivesparis</w:t>
      </w:r>
    </w:p>
    <w:p w14:paraId="53FEBC3F" w14:textId="77777777" w:rsidR="00874739" w:rsidRPr="004829F6" w:rsidRDefault="00874739" w:rsidP="00874739">
      <w:pPr>
        <w:pStyle w:val="Default"/>
        <w:spacing w:after="15"/>
        <w:rPr>
          <w:rFonts w:ascii="Century Gothic" w:hAnsi="Century Gothic"/>
          <w:sz w:val="18"/>
          <w:szCs w:val="18"/>
        </w:rPr>
      </w:pPr>
    </w:p>
    <w:p w14:paraId="6E889021" w14:textId="77777777" w:rsidR="00874739" w:rsidRPr="004829F6" w:rsidRDefault="00874739" w:rsidP="00874739">
      <w:pPr>
        <w:pStyle w:val="Default"/>
        <w:spacing w:after="15"/>
        <w:rPr>
          <w:rFonts w:ascii="Century Gothic" w:hAnsi="Century Gothic"/>
          <w:sz w:val="18"/>
          <w:szCs w:val="18"/>
        </w:rPr>
      </w:pPr>
      <w:r w:rsidRPr="004829F6">
        <w:rPr>
          <w:rFonts w:ascii="Century Gothic" w:hAnsi="Century Gothic"/>
          <w:sz w:val="18"/>
          <w:szCs w:val="18"/>
        </w:rPr>
        <w:t>A défaut de solution le satisfaisant ou en l'absence de réponse dans le délai de 2 mois, le Client a la faculté de saisir gratuitement le médiateur de la Banque sur son site internet ou par voie postale, dans le délai d’un an à compter de sa réclamation auprès de la Banque, sans préjudice des autres voies d’actions légales dont il dispose.</w:t>
      </w:r>
    </w:p>
    <w:p w14:paraId="080E3AA0" w14:textId="77777777" w:rsidR="00874739" w:rsidRPr="004829F6" w:rsidRDefault="00874739" w:rsidP="00874739">
      <w:pPr>
        <w:pStyle w:val="Default"/>
        <w:spacing w:after="15"/>
        <w:rPr>
          <w:rFonts w:ascii="Century Gothic" w:hAnsi="Century Gothic"/>
          <w:sz w:val="18"/>
          <w:szCs w:val="18"/>
        </w:rPr>
      </w:pPr>
    </w:p>
    <w:p w14:paraId="24EBD0B0" w14:textId="77777777" w:rsidR="00874739" w:rsidRPr="004829F6" w:rsidRDefault="00874739" w:rsidP="00874739">
      <w:pPr>
        <w:pStyle w:val="Default"/>
        <w:spacing w:after="15"/>
        <w:rPr>
          <w:rFonts w:ascii="Century Gothic" w:hAnsi="Century Gothic"/>
          <w:sz w:val="18"/>
          <w:szCs w:val="18"/>
        </w:rPr>
      </w:pPr>
      <w:r w:rsidRPr="004829F6">
        <w:rPr>
          <w:rFonts w:ascii="Century Gothic" w:hAnsi="Century Gothic"/>
          <w:sz w:val="18"/>
          <w:szCs w:val="18"/>
        </w:rPr>
        <w:t>L’adresse postale du médiateur et les coordonnées du site internet du médiateur figurent sur les relevés de compte du client. Les informations nécessaires à la saisine du médiateur, son périmètre et le déroulé de la procédure de médiation figurent sur la charte de médiation disponible sur le site de la Banque jusqu’à l’ouverture du site internet du médiateur puis sur le site du médiateur dès son ouverture au public.</w:t>
      </w:r>
    </w:p>
    <w:p w14:paraId="05B1AB22" w14:textId="77777777" w:rsidR="00874739" w:rsidRPr="004829F6" w:rsidRDefault="00874739" w:rsidP="00874739">
      <w:pPr>
        <w:pStyle w:val="Default"/>
        <w:spacing w:after="15"/>
        <w:rPr>
          <w:rFonts w:ascii="Century Gothic" w:hAnsi="Century Gothic"/>
          <w:sz w:val="18"/>
          <w:szCs w:val="18"/>
        </w:rPr>
      </w:pPr>
    </w:p>
    <w:p w14:paraId="0BFEFDDD" w14:textId="77777777" w:rsidR="00874739" w:rsidRPr="004829F6" w:rsidRDefault="00874739" w:rsidP="00874739">
      <w:pPr>
        <w:pStyle w:val="Default"/>
        <w:spacing w:after="15"/>
        <w:rPr>
          <w:rFonts w:ascii="Century Gothic" w:hAnsi="Century Gothic"/>
          <w:sz w:val="18"/>
          <w:szCs w:val="18"/>
        </w:rPr>
      </w:pPr>
      <w:r w:rsidRPr="004829F6">
        <w:rPr>
          <w:rFonts w:ascii="Century Gothic" w:hAnsi="Century Gothic"/>
          <w:sz w:val="18"/>
          <w:szCs w:val="18"/>
        </w:rPr>
        <w:t>En cas de souscription par Internet, le Client peut également déposer sa réclamation sur la plateforme européenne de règlement par voie extrajudiciaire des litiges en ligne qui orientera sa demande :</w:t>
      </w:r>
    </w:p>
    <w:p w14:paraId="36AC0874" w14:textId="505DB7D7" w:rsidR="00874739" w:rsidRPr="004829F6" w:rsidRDefault="00874739" w:rsidP="00874739">
      <w:pPr>
        <w:spacing w:after="0"/>
        <w:jc w:val="both"/>
        <w:rPr>
          <w:rFonts w:cs="Arial"/>
          <w:szCs w:val="18"/>
        </w:rPr>
      </w:pPr>
      <w:r w:rsidRPr="004829F6">
        <w:rPr>
          <w:szCs w:val="18"/>
        </w:rPr>
        <w:t>http://ec.europa.eu/consumers/odr/. »</w:t>
      </w:r>
    </w:p>
    <w:p w14:paraId="105AB0B2" w14:textId="77777777" w:rsidR="00874739" w:rsidRPr="004829F6" w:rsidRDefault="00874739" w:rsidP="004B6E27">
      <w:pPr>
        <w:spacing w:after="0"/>
        <w:jc w:val="both"/>
        <w:rPr>
          <w:rFonts w:cs="Arial"/>
          <w:szCs w:val="18"/>
        </w:rPr>
      </w:pPr>
    </w:p>
    <w:p w14:paraId="399A2D31" w14:textId="6B435A13" w:rsidR="00874739" w:rsidRPr="004829F6" w:rsidRDefault="00874739" w:rsidP="00874739">
      <w:pPr>
        <w:pStyle w:val="Default"/>
        <w:spacing w:after="15"/>
        <w:rPr>
          <w:rFonts w:ascii="Century Gothic" w:hAnsi="Century Gothic"/>
          <w:sz w:val="18"/>
          <w:szCs w:val="18"/>
        </w:rPr>
      </w:pPr>
      <w:r w:rsidRPr="004829F6">
        <w:rPr>
          <w:rFonts w:ascii="Century Gothic" w:hAnsi="Century Gothic"/>
          <w:sz w:val="18"/>
          <w:szCs w:val="18"/>
        </w:rPr>
        <w:t>Dans le cas d’un litige relatif à des services et placements financiers, à l'information des investisseurs, à la commercialisation de produits financiers (CTO, PEA, actions, obligations, OPC, SCPI…), à la gestion de portefeuille (mandat de gestion, gestion conseillée…), à l’épargne salariale, à la transmission et l'exécution des ordres, ainsi qu’à la tenue de compte titres ou PEA, le client peut s’adresser au Médiateur de l'Autorité des Marchés Financiers (AMF)</w:t>
      </w:r>
      <w:r w:rsidR="007B6BE7">
        <w:rPr>
          <w:rFonts w:ascii="Century Gothic" w:hAnsi="Century Gothic"/>
          <w:sz w:val="18"/>
          <w:szCs w:val="18"/>
        </w:rPr>
        <w:t xml:space="preserve"> à la condition d’avoir saisi officiellement le service satisfaction clients de la Banque en premier ressort.</w:t>
      </w:r>
    </w:p>
    <w:p w14:paraId="6AC48DB6" w14:textId="77777777" w:rsidR="00874739" w:rsidRPr="004829F6" w:rsidRDefault="00874739" w:rsidP="00874739">
      <w:pPr>
        <w:pStyle w:val="Default"/>
        <w:spacing w:after="15"/>
        <w:rPr>
          <w:rFonts w:ascii="Century Gothic" w:hAnsi="Century Gothic"/>
          <w:sz w:val="18"/>
          <w:szCs w:val="18"/>
        </w:rPr>
      </w:pPr>
    </w:p>
    <w:p w14:paraId="117D61F3" w14:textId="77777777" w:rsidR="00874739" w:rsidRPr="004829F6" w:rsidRDefault="00874739" w:rsidP="00874739">
      <w:pPr>
        <w:pStyle w:val="Default"/>
        <w:spacing w:after="15"/>
        <w:rPr>
          <w:rFonts w:ascii="Century Gothic" w:hAnsi="Century Gothic"/>
          <w:sz w:val="18"/>
          <w:szCs w:val="18"/>
        </w:rPr>
      </w:pPr>
      <w:r w:rsidRPr="004829F6">
        <w:rPr>
          <w:rFonts w:ascii="Century Gothic" w:hAnsi="Century Gothic"/>
          <w:sz w:val="18"/>
          <w:szCs w:val="18"/>
        </w:rPr>
        <w:t>La saisine du Médiateur de l’AMF est gratuite, soit par voie postale à l’adresse suivante : M. le Médiateur de l’AMF, Autorité des marchés financiers, 17 place de la Bourse, 75082 PARIS CEDEX 02, soit en complétant le formulaire de demande de médiation sur le site internet de l’AMF : www.amf-france.org.</w:t>
      </w:r>
    </w:p>
    <w:p w14:paraId="3C8B2D7B" w14:textId="77777777" w:rsidR="0025615F" w:rsidRPr="004829F6" w:rsidRDefault="0025615F" w:rsidP="004B6E27">
      <w:pPr>
        <w:jc w:val="both"/>
        <w:rPr>
          <w:rFonts w:cs="Arial"/>
          <w:i/>
          <w:iCs/>
          <w:szCs w:val="18"/>
        </w:rPr>
      </w:pPr>
    </w:p>
    <w:p w14:paraId="425C9F6D" w14:textId="77777777" w:rsidR="0025615F" w:rsidRPr="004829F6" w:rsidRDefault="0025615F" w:rsidP="004B6E27">
      <w:pPr>
        <w:jc w:val="both"/>
        <w:rPr>
          <w:rFonts w:cs="Arial"/>
          <w:szCs w:val="18"/>
        </w:rPr>
      </w:pPr>
    </w:p>
    <w:p w14:paraId="344B1378" w14:textId="4A7BAB8D" w:rsidR="00DB7096" w:rsidRPr="004829F6" w:rsidRDefault="00897AF9" w:rsidP="00897AF9">
      <w:pPr>
        <w:pStyle w:val="Articles"/>
        <w:numPr>
          <w:ilvl w:val="0"/>
          <w:numId w:val="0"/>
        </w:numPr>
      </w:pPr>
      <w:r w:rsidRPr="004829F6">
        <w:t> Article 23 :</w:t>
      </w:r>
      <w:r w:rsidR="00DB7096" w:rsidRPr="004829F6">
        <w:t> Droit de rétractation</w:t>
      </w:r>
    </w:p>
    <w:p w14:paraId="70F56A21" w14:textId="2F361789" w:rsidR="000C5450" w:rsidRPr="004829F6" w:rsidRDefault="000C5450" w:rsidP="000C5450">
      <w:pPr>
        <w:pStyle w:val="NormalHuge"/>
      </w:pPr>
      <w:r w:rsidRPr="004829F6">
        <w:t>Le Mandant reconnaît avoir pris connaissance, avant tout engagement de sa part, de la fiche relative aux</w:t>
      </w:r>
      <w:r w:rsidR="00897AF9" w:rsidRPr="004829F6">
        <w:t xml:space="preserve"> </w:t>
      </w:r>
      <w:r w:rsidRPr="004829F6">
        <w:t>caractéristiques du produit ou du service objet du contrat.</w:t>
      </w:r>
    </w:p>
    <w:p w14:paraId="0BC5C39C" w14:textId="5C2AD682" w:rsidR="000C5450" w:rsidRPr="004829F6" w:rsidRDefault="000C5450" w:rsidP="000C5450">
      <w:pPr>
        <w:pStyle w:val="NormalHuge"/>
      </w:pPr>
      <w:r w:rsidRPr="004829F6">
        <w:t>Le Mandant ne bénéficie pas d’un délai de rétractation si le Mandat a été signé en agence et qu’elle n’a pas été</w:t>
      </w:r>
      <w:r w:rsidR="00897AF9" w:rsidRPr="004829F6">
        <w:t xml:space="preserve"> </w:t>
      </w:r>
      <w:r w:rsidRPr="004829F6">
        <w:t>précédée d’une sollicitation par voie de démarchage.</w:t>
      </w:r>
    </w:p>
    <w:p w14:paraId="6EED1AAA" w14:textId="18477889" w:rsidR="000C5450" w:rsidRPr="004829F6" w:rsidRDefault="000C5450" w:rsidP="000C5450">
      <w:pPr>
        <w:pStyle w:val="NormalHuge"/>
      </w:pPr>
      <w:r w:rsidRPr="004829F6">
        <w:t>En revanche, lorsqu’un acte de démarchage a précédé la conclusion du Mandat à distance ou non, le Mandant</w:t>
      </w:r>
      <w:r w:rsidR="00897AF9" w:rsidRPr="004829F6">
        <w:t xml:space="preserve"> </w:t>
      </w:r>
      <w:r w:rsidRPr="004829F6">
        <w:t>dispose, en application des dispositions de l'article L.341-16 du Code monétaire et financier et à compter de la date de</w:t>
      </w:r>
      <w:r w:rsidR="00897AF9" w:rsidRPr="004829F6">
        <w:t xml:space="preserve"> </w:t>
      </w:r>
      <w:r w:rsidRPr="004829F6">
        <w:t>cette conclusion ou de la réception des conditions et informations contractuelles si cette date est postérieure à la</w:t>
      </w:r>
      <w:r w:rsidR="00897AF9" w:rsidRPr="004829F6">
        <w:t xml:space="preserve"> </w:t>
      </w:r>
      <w:r w:rsidRPr="004829F6">
        <w:t>précédente, d'un délai de quatorze (14) jours pour se rétracter en renvoyant le courrier, dont modèle figure en Annexe II</w:t>
      </w:r>
      <w:r w:rsidR="00897AF9" w:rsidRPr="004829F6">
        <w:t xml:space="preserve"> </w:t>
      </w:r>
      <w:r w:rsidRPr="004829F6">
        <w:t xml:space="preserve">des présentes, après l'avoir dûment complété et signé. L'exercice de ce droit n'a pas </w:t>
      </w:r>
      <w:r w:rsidRPr="004829F6">
        <w:rPr>
          <w:rFonts w:cs="Century Gothic"/>
        </w:rPr>
        <w:t>à</w:t>
      </w:r>
      <w:r w:rsidRPr="004829F6">
        <w:t xml:space="preserve"> </w:t>
      </w:r>
      <w:r w:rsidRPr="004829F6">
        <w:rPr>
          <w:rFonts w:cs="Century Gothic"/>
        </w:rPr>
        <w:t>ê</w:t>
      </w:r>
      <w:r w:rsidRPr="004829F6">
        <w:t>tre motiv</w:t>
      </w:r>
      <w:r w:rsidRPr="004829F6">
        <w:rPr>
          <w:rFonts w:cs="Century Gothic"/>
        </w:rPr>
        <w:t>é</w:t>
      </w:r>
      <w:r w:rsidRPr="004829F6">
        <w:t xml:space="preserve"> et ne donne lieu </w:t>
      </w:r>
      <w:r w:rsidRPr="004829F6">
        <w:rPr>
          <w:rFonts w:cs="Century Gothic"/>
        </w:rPr>
        <w:t>à</w:t>
      </w:r>
      <w:r w:rsidRPr="004829F6">
        <w:t xml:space="preserve"> la</w:t>
      </w:r>
      <w:r w:rsidR="00897AF9" w:rsidRPr="004829F6">
        <w:t xml:space="preserve"> </w:t>
      </w:r>
      <w:r w:rsidRPr="004829F6">
        <w:t>perception d'aucune pénalité.</w:t>
      </w:r>
    </w:p>
    <w:p w14:paraId="38DBE9C6" w14:textId="4D6DFA73" w:rsidR="000C5450" w:rsidRPr="004829F6" w:rsidRDefault="000C5450" w:rsidP="000C5450">
      <w:pPr>
        <w:pStyle w:val="NormalHuge"/>
      </w:pPr>
      <w:r w:rsidRPr="004829F6">
        <w:t>Il est précisé que dans cette hypothèse de démarchage au sens de l'article L.341-16 précité du Code monétaire et</w:t>
      </w:r>
      <w:r w:rsidR="00D526D6" w:rsidRPr="004829F6">
        <w:t xml:space="preserve"> </w:t>
      </w:r>
      <w:r w:rsidRPr="004829F6">
        <w:t>financier, l'exécution du Mandat est différée pendant la durée du droit de rétractation.</w:t>
      </w:r>
    </w:p>
    <w:p w14:paraId="1CA0B85E" w14:textId="78151F39" w:rsidR="000C5450" w:rsidRPr="004829F6" w:rsidRDefault="000C5450" w:rsidP="000C5450">
      <w:pPr>
        <w:pStyle w:val="NormalHuge"/>
      </w:pPr>
      <w:r w:rsidRPr="004829F6">
        <w:t>Au contraire, lorsque le Mandat a été conclu à distance, conformément à l’article L. 343-1 du Code monétaire et</w:t>
      </w:r>
      <w:r w:rsidR="00D526D6" w:rsidRPr="004829F6">
        <w:t xml:space="preserve"> </w:t>
      </w:r>
      <w:r w:rsidRPr="004829F6">
        <w:t>financier, mais sans être précédé d’un acte de démarchage, le Mandant peut donner son accord au commencement</w:t>
      </w:r>
      <w:r w:rsidR="00D526D6" w:rsidRPr="004829F6">
        <w:t xml:space="preserve"> </w:t>
      </w:r>
      <w:r w:rsidRPr="004829F6">
        <w:t>d'exécution du Mandat avant la fin du délai de rétractation de quatorze (14) jours dont il bénéficie en vertu de l’article</w:t>
      </w:r>
      <w:r w:rsidR="00D526D6" w:rsidRPr="004829F6">
        <w:t xml:space="preserve"> </w:t>
      </w:r>
      <w:r w:rsidRPr="004829F6">
        <w:t>L. 222-7 du Code de la consommation. L’exercice de ce droit de rétractation procède également de l’envoi d’un courrier</w:t>
      </w:r>
      <w:r w:rsidR="00D526D6" w:rsidRPr="004829F6">
        <w:t xml:space="preserve"> </w:t>
      </w:r>
      <w:r w:rsidRPr="004829F6">
        <w:t>dont modèle est fourni en Annexe II des présentes.</w:t>
      </w:r>
    </w:p>
    <w:p w14:paraId="5BE01934" w14:textId="25BB2C70" w:rsidR="000C5450" w:rsidRPr="004829F6" w:rsidRDefault="000C5450" w:rsidP="000C5450">
      <w:pPr>
        <w:pStyle w:val="NormalHuge"/>
      </w:pPr>
      <w:r w:rsidRPr="004829F6">
        <w:t>Il est précisé que si le Mandant se rétracte alors qu’avec son accord, l’exécution du Mandat a débuté, cette rétractation</w:t>
      </w:r>
      <w:r w:rsidR="00D526D6" w:rsidRPr="004829F6">
        <w:t xml:space="preserve"> </w:t>
      </w:r>
      <w:r w:rsidRPr="004829F6">
        <w:t>ne s’appliquera pas aux instruments financiers qui figureraient, le cas échéant, sur le compte.</w:t>
      </w:r>
    </w:p>
    <w:p w14:paraId="3F3DA1BC" w14:textId="77777777" w:rsidR="000C5450" w:rsidRPr="004829F6" w:rsidRDefault="000C5450" w:rsidP="00AD59A1">
      <w:pPr>
        <w:pStyle w:val="NormalHuge"/>
      </w:pPr>
    </w:p>
    <w:p w14:paraId="57233B9E" w14:textId="77777777" w:rsidR="000C5450" w:rsidRPr="004829F6" w:rsidRDefault="000C5450" w:rsidP="00AD59A1">
      <w:pPr>
        <w:pStyle w:val="NormalHuge"/>
      </w:pPr>
    </w:p>
    <w:p w14:paraId="3BEB2C22" w14:textId="77777777" w:rsidR="00152EC6" w:rsidRPr="004829F6" w:rsidRDefault="00152EC6" w:rsidP="00AD59A1">
      <w:pPr>
        <w:pStyle w:val="NormalHuge"/>
      </w:pPr>
    </w:p>
    <w:p w14:paraId="4808EDF7" w14:textId="77777777" w:rsidR="00152EC6" w:rsidRPr="004829F6" w:rsidRDefault="00152EC6" w:rsidP="00AD59A1">
      <w:pPr>
        <w:pStyle w:val="NormalHug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5"/>
        <w:gridCol w:w="5221"/>
      </w:tblGrid>
      <w:tr w:rsidR="00AD59A1" w:rsidRPr="004829F6" w14:paraId="6A31F598" w14:textId="77777777" w:rsidTr="00AD59A1">
        <w:tc>
          <w:tcPr>
            <w:tcW w:w="5303" w:type="dxa"/>
          </w:tcPr>
          <w:p w14:paraId="3EC21975" w14:textId="03D96521" w:rsidR="00AD59A1" w:rsidRPr="004829F6" w:rsidRDefault="00AD59A1" w:rsidP="00AD59A1">
            <w:pPr>
              <w:pStyle w:val="NormalTableau"/>
            </w:pPr>
            <w:r w:rsidRPr="004829F6">
              <w:t xml:space="preserve">Fait à </w:t>
            </w:r>
            <w:r w:rsidR="00772C73" w:rsidRPr="004829F6">
              <w:t>_</w:t>
            </w:r>
            <w:r w:rsidR="00084F07">
              <w:rPr>
                <w:szCs w:val="18"/>
              </w:rPr>
              <w:fldChar w:fldCharType="begin">
                <w:ffData>
                  <w:name w:val="Texte1"/>
                  <w:enabled/>
                  <w:calcOnExit w:val="0"/>
                  <w:textInput/>
                </w:ffData>
              </w:fldChar>
            </w:r>
            <w:r w:rsidR="00084F07">
              <w:rPr>
                <w:szCs w:val="18"/>
              </w:rPr>
              <w:instrText xml:space="preserve"> FORMTEXT </w:instrText>
            </w:r>
            <w:r w:rsidR="00084F07">
              <w:rPr>
                <w:szCs w:val="18"/>
              </w:rPr>
            </w:r>
            <w:r w:rsidR="00084F07">
              <w:rPr>
                <w:szCs w:val="18"/>
              </w:rPr>
              <w:fldChar w:fldCharType="separate"/>
            </w:r>
            <w:r w:rsidR="00084F07">
              <w:rPr>
                <w:noProof/>
                <w:szCs w:val="18"/>
              </w:rPr>
              <w:t> </w:t>
            </w:r>
            <w:r w:rsidR="00084F07">
              <w:rPr>
                <w:noProof/>
                <w:szCs w:val="18"/>
              </w:rPr>
              <w:t> </w:t>
            </w:r>
            <w:r w:rsidR="00084F07">
              <w:rPr>
                <w:noProof/>
                <w:szCs w:val="18"/>
              </w:rPr>
              <w:t> </w:t>
            </w:r>
            <w:r w:rsidR="00084F07">
              <w:rPr>
                <w:noProof/>
                <w:szCs w:val="18"/>
              </w:rPr>
              <w:t> </w:t>
            </w:r>
            <w:r w:rsidR="00084F07">
              <w:rPr>
                <w:noProof/>
                <w:szCs w:val="18"/>
              </w:rPr>
              <w:t> </w:t>
            </w:r>
            <w:r w:rsidR="00084F07">
              <w:rPr>
                <w:szCs w:val="18"/>
              </w:rPr>
              <w:fldChar w:fldCharType="end"/>
            </w:r>
            <w:r w:rsidR="00772C73" w:rsidRPr="004829F6">
              <w:t>___________________</w:t>
            </w:r>
            <w:r w:rsidRPr="004829F6">
              <w:t xml:space="preserve">, le </w:t>
            </w:r>
            <w:r w:rsidR="00084F07">
              <w:rPr>
                <w:szCs w:val="18"/>
              </w:rPr>
              <w:fldChar w:fldCharType="begin">
                <w:ffData>
                  <w:name w:val="Texte1"/>
                  <w:enabled/>
                  <w:calcOnExit w:val="0"/>
                  <w:textInput/>
                </w:ffData>
              </w:fldChar>
            </w:r>
            <w:r w:rsidR="00084F07">
              <w:rPr>
                <w:szCs w:val="18"/>
              </w:rPr>
              <w:instrText xml:space="preserve"> FORMTEXT </w:instrText>
            </w:r>
            <w:r w:rsidR="00084F07">
              <w:rPr>
                <w:szCs w:val="18"/>
              </w:rPr>
            </w:r>
            <w:r w:rsidR="00084F07">
              <w:rPr>
                <w:szCs w:val="18"/>
              </w:rPr>
              <w:fldChar w:fldCharType="separate"/>
            </w:r>
            <w:r w:rsidR="00084F07">
              <w:rPr>
                <w:noProof/>
                <w:szCs w:val="18"/>
              </w:rPr>
              <w:t> </w:t>
            </w:r>
            <w:r w:rsidR="00084F07">
              <w:rPr>
                <w:noProof/>
                <w:szCs w:val="18"/>
              </w:rPr>
              <w:t> </w:t>
            </w:r>
            <w:r w:rsidR="00084F07">
              <w:rPr>
                <w:noProof/>
                <w:szCs w:val="18"/>
              </w:rPr>
              <w:t> </w:t>
            </w:r>
            <w:r w:rsidR="00084F07">
              <w:rPr>
                <w:noProof/>
                <w:szCs w:val="18"/>
              </w:rPr>
              <w:t> </w:t>
            </w:r>
            <w:r w:rsidR="00084F07">
              <w:rPr>
                <w:noProof/>
                <w:szCs w:val="18"/>
              </w:rPr>
              <w:t> </w:t>
            </w:r>
            <w:r w:rsidR="00084F07">
              <w:rPr>
                <w:szCs w:val="18"/>
              </w:rPr>
              <w:fldChar w:fldCharType="end"/>
            </w:r>
            <w:r w:rsidR="00772C73" w:rsidRPr="004829F6">
              <w:t>_______________</w:t>
            </w:r>
            <w:r w:rsidR="00436F68" w:rsidRPr="004829F6">
              <w:t>, en autant d’exemplaires que de parties</w:t>
            </w:r>
          </w:p>
          <w:p w14:paraId="2D839232" w14:textId="77777777" w:rsidR="00772C73" w:rsidRPr="004829F6" w:rsidRDefault="00772C73" w:rsidP="00AD59A1">
            <w:pPr>
              <w:pStyle w:val="NormalTableau"/>
            </w:pPr>
          </w:p>
          <w:p w14:paraId="2B8C5FDF" w14:textId="77777777" w:rsidR="00772C73" w:rsidRPr="004829F6" w:rsidRDefault="00772C73" w:rsidP="00AD59A1">
            <w:pPr>
              <w:pStyle w:val="NormalTableau"/>
            </w:pPr>
          </w:p>
          <w:p w14:paraId="5D6D80AC" w14:textId="27E2B18C" w:rsidR="00436F68" w:rsidRPr="004829F6" w:rsidRDefault="00436F68" w:rsidP="00AD59A1">
            <w:pPr>
              <w:pStyle w:val="NormalTableau"/>
            </w:pPr>
          </w:p>
        </w:tc>
        <w:tc>
          <w:tcPr>
            <w:tcW w:w="5303" w:type="dxa"/>
          </w:tcPr>
          <w:p w14:paraId="4CEE39F3" w14:textId="77777777" w:rsidR="00AD59A1" w:rsidRPr="004829F6" w:rsidRDefault="00AD59A1" w:rsidP="00AD59A1">
            <w:pPr>
              <w:pStyle w:val="NormalTableau"/>
            </w:pPr>
          </w:p>
        </w:tc>
      </w:tr>
      <w:tr w:rsidR="00AD59A1" w:rsidRPr="004829F6" w14:paraId="147DCFA9" w14:textId="77777777" w:rsidTr="00980445">
        <w:tc>
          <w:tcPr>
            <w:tcW w:w="5303" w:type="dxa"/>
            <w:tcBorders>
              <w:right w:val="single" w:sz="4" w:space="0" w:color="auto"/>
            </w:tcBorders>
          </w:tcPr>
          <w:p w14:paraId="19A7ABA7" w14:textId="306DA972" w:rsidR="00AD59A1" w:rsidRPr="004829F6" w:rsidRDefault="00AD59A1" w:rsidP="00AD59A1">
            <w:pPr>
              <w:pStyle w:val="NormalTC"/>
              <w:rPr>
                <w:b/>
              </w:rPr>
            </w:pPr>
            <w:r w:rsidRPr="004829F6">
              <w:rPr>
                <w:b/>
              </w:rPr>
              <w:t>Le</w:t>
            </w:r>
            <w:r w:rsidR="00436F68" w:rsidRPr="004829F6">
              <w:rPr>
                <w:b/>
              </w:rPr>
              <w:t>(s)</w:t>
            </w:r>
            <w:r w:rsidRPr="004829F6">
              <w:rPr>
                <w:b/>
              </w:rPr>
              <w:t xml:space="preserve"> Mandant</w:t>
            </w:r>
            <w:r w:rsidR="00436F68" w:rsidRPr="004829F6">
              <w:rPr>
                <w:b/>
              </w:rPr>
              <w:t>(s)</w:t>
            </w:r>
          </w:p>
        </w:tc>
        <w:tc>
          <w:tcPr>
            <w:tcW w:w="5303" w:type="dxa"/>
            <w:tcBorders>
              <w:left w:val="single" w:sz="4" w:space="0" w:color="auto"/>
            </w:tcBorders>
          </w:tcPr>
          <w:p w14:paraId="5070DA91" w14:textId="77777777" w:rsidR="00AD59A1" w:rsidRPr="004829F6" w:rsidRDefault="00AD59A1" w:rsidP="00AD59A1">
            <w:pPr>
              <w:pStyle w:val="NormalTC"/>
              <w:rPr>
                <w:b/>
              </w:rPr>
            </w:pPr>
            <w:r w:rsidRPr="004829F6">
              <w:rPr>
                <w:b/>
              </w:rPr>
              <w:t>Le Mandataire</w:t>
            </w:r>
          </w:p>
        </w:tc>
      </w:tr>
      <w:tr w:rsidR="00AD59A1" w:rsidRPr="004829F6" w14:paraId="60E374EA" w14:textId="77777777" w:rsidTr="00980445">
        <w:tc>
          <w:tcPr>
            <w:tcW w:w="5303" w:type="dxa"/>
            <w:tcBorders>
              <w:bottom w:val="single" w:sz="4" w:space="0" w:color="auto"/>
              <w:right w:val="single" w:sz="4" w:space="0" w:color="auto"/>
            </w:tcBorders>
          </w:tcPr>
          <w:p w14:paraId="399437D9" w14:textId="77777777" w:rsidR="00AD59A1" w:rsidRPr="004829F6" w:rsidRDefault="00AD59A1" w:rsidP="00AD59A1">
            <w:pPr>
              <w:pStyle w:val="NormalTC"/>
            </w:pPr>
            <w:r w:rsidRPr="004829F6">
              <w:t>Signature(s) précédée(s) de la mention manuscrite « lu et approuvé »</w:t>
            </w:r>
          </w:p>
        </w:tc>
        <w:tc>
          <w:tcPr>
            <w:tcW w:w="5303" w:type="dxa"/>
            <w:tcBorders>
              <w:left w:val="single" w:sz="4" w:space="0" w:color="auto"/>
              <w:bottom w:val="single" w:sz="4" w:space="0" w:color="auto"/>
            </w:tcBorders>
          </w:tcPr>
          <w:p w14:paraId="062F552E" w14:textId="4DD90A5C" w:rsidR="00AD59A1" w:rsidRPr="004829F6" w:rsidRDefault="00A74423" w:rsidP="00A74423">
            <w:pPr>
              <w:pStyle w:val="NormalTC"/>
            </w:pPr>
            <w:r w:rsidRPr="004829F6">
              <w:t>Nom et s</w:t>
            </w:r>
            <w:r w:rsidR="00AD59A1" w:rsidRPr="004829F6">
              <w:t>ignature</w:t>
            </w:r>
            <w:r w:rsidRPr="004829F6">
              <w:t xml:space="preserve"> du conseiller</w:t>
            </w:r>
          </w:p>
        </w:tc>
      </w:tr>
      <w:tr w:rsidR="00AD59A1" w:rsidRPr="004829F6" w14:paraId="57DE3DFB" w14:textId="77777777" w:rsidTr="00980445">
        <w:trPr>
          <w:trHeight w:val="1984"/>
        </w:trPr>
        <w:tc>
          <w:tcPr>
            <w:tcW w:w="5303" w:type="dxa"/>
            <w:tcBorders>
              <w:top w:val="single" w:sz="4" w:space="0" w:color="auto"/>
              <w:right w:val="single" w:sz="4" w:space="0" w:color="auto"/>
            </w:tcBorders>
          </w:tcPr>
          <w:p w14:paraId="11091F7C" w14:textId="77777777" w:rsidR="00AD59A1" w:rsidRPr="004829F6" w:rsidRDefault="00AD59A1" w:rsidP="00AD59A1">
            <w:pPr>
              <w:pStyle w:val="NormalTableau"/>
            </w:pPr>
          </w:p>
        </w:tc>
        <w:tc>
          <w:tcPr>
            <w:tcW w:w="5303" w:type="dxa"/>
            <w:tcBorders>
              <w:top w:val="single" w:sz="4" w:space="0" w:color="auto"/>
              <w:left w:val="single" w:sz="4" w:space="0" w:color="auto"/>
            </w:tcBorders>
          </w:tcPr>
          <w:p w14:paraId="26098FCC" w14:textId="77777777" w:rsidR="00AD59A1" w:rsidRPr="004829F6" w:rsidRDefault="00AD59A1" w:rsidP="00AD59A1">
            <w:pPr>
              <w:pStyle w:val="NormalTableau"/>
            </w:pPr>
          </w:p>
        </w:tc>
      </w:tr>
    </w:tbl>
    <w:p w14:paraId="03FC9ADB" w14:textId="77777777" w:rsidR="001279C6" w:rsidRPr="004829F6" w:rsidRDefault="001279C6" w:rsidP="001279C6">
      <w:pPr>
        <w:pStyle w:val="NormalHuge"/>
      </w:pPr>
      <w:r w:rsidRPr="004829F6">
        <w:br w:type="page"/>
      </w:r>
    </w:p>
    <w:p w14:paraId="4FA9B422" w14:textId="0FB5A357" w:rsidR="00DB7096" w:rsidRPr="004829F6" w:rsidRDefault="00E82800" w:rsidP="004872CF">
      <w:pPr>
        <w:pStyle w:val="NormalHuge"/>
        <w:jc w:val="center"/>
        <w:rPr>
          <w:b/>
          <w:bCs/>
          <w:sz w:val="28"/>
          <w:szCs w:val="28"/>
        </w:rPr>
      </w:pPr>
      <w:r w:rsidRPr="004829F6">
        <w:rPr>
          <w:b/>
          <w:bCs/>
          <w:sz w:val="28"/>
          <w:szCs w:val="28"/>
        </w:rPr>
        <w:lastRenderedPageBreak/>
        <w:t xml:space="preserve">Annexe </w:t>
      </w:r>
      <w:r w:rsidR="004872CF" w:rsidRPr="004829F6">
        <w:rPr>
          <w:b/>
          <w:bCs/>
          <w:sz w:val="28"/>
          <w:szCs w:val="28"/>
        </w:rPr>
        <w:t xml:space="preserve">I </w:t>
      </w:r>
      <w:r w:rsidRPr="004829F6">
        <w:rPr>
          <w:b/>
          <w:bCs/>
          <w:sz w:val="28"/>
          <w:szCs w:val="28"/>
        </w:rPr>
        <w:t>– Conditions Tarifaires</w:t>
      </w:r>
    </w:p>
    <w:p w14:paraId="5AB72DE7" w14:textId="77777777" w:rsidR="00E10DF7" w:rsidRPr="004829F6" w:rsidRDefault="00E10DF7">
      <w:pPr>
        <w:spacing w:after="0"/>
        <w:rPr>
          <w:highlight w:val="yellow"/>
        </w:rPr>
      </w:pPr>
    </w:p>
    <w:p w14:paraId="352E09B6" w14:textId="77777777" w:rsidR="000C5450" w:rsidRPr="0004050C" w:rsidRDefault="000C5450" w:rsidP="00E10DF7">
      <w:pPr>
        <w:autoSpaceDE w:val="0"/>
        <w:autoSpaceDN w:val="0"/>
        <w:adjustRightInd w:val="0"/>
        <w:outlineLvl w:val="0"/>
        <w:rPr>
          <w:rFonts w:cs="Arial"/>
          <w:szCs w:val="18"/>
        </w:rPr>
      </w:pPr>
    </w:p>
    <w:p w14:paraId="360D693F" w14:textId="30406C27" w:rsidR="000C5450" w:rsidRPr="0004050C" w:rsidRDefault="000C5450" w:rsidP="000C5450">
      <w:pPr>
        <w:autoSpaceDE w:val="0"/>
        <w:autoSpaceDN w:val="0"/>
        <w:adjustRightInd w:val="0"/>
        <w:outlineLvl w:val="0"/>
        <w:rPr>
          <w:rFonts w:cs="Arial"/>
          <w:szCs w:val="18"/>
        </w:rPr>
      </w:pPr>
      <w:r w:rsidRPr="0004050C">
        <w:rPr>
          <w:rFonts w:cs="Arial"/>
          <w:szCs w:val="18"/>
        </w:rPr>
        <w:t>En rémunération de son mandat, la BANQUE percevra une contribution annuelle, prélevée semestriellement (en janvier</w:t>
      </w:r>
      <w:r w:rsidR="00D526D6" w:rsidRPr="0004050C">
        <w:rPr>
          <w:rFonts w:cs="Arial"/>
          <w:szCs w:val="18"/>
        </w:rPr>
        <w:t xml:space="preserve"> </w:t>
      </w:r>
      <w:r w:rsidRPr="0004050C">
        <w:rPr>
          <w:rFonts w:cs="Arial"/>
          <w:szCs w:val="18"/>
        </w:rPr>
        <w:t>et en juillet), qui comprend :</w:t>
      </w:r>
    </w:p>
    <w:p w14:paraId="3281F3DA" w14:textId="12E45663" w:rsidR="00D526D6" w:rsidRPr="0004050C" w:rsidRDefault="00D526D6" w:rsidP="000C5450">
      <w:pPr>
        <w:autoSpaceDE w:val="0"/>
        <w:autoSpaceDN w:val="0"/>
        <w:adjustRightInd w:val="0"/>
        <w:outlineLvl w:val="0"/>
        <w:rPr>
          <w:rFonts w:cs="Arial"/>
          <w:szCs w:val="18"/>
        </w:rPr>
      </w:pPr>
    </w:p>
    <w:p w14:paraId="5CD2CAF6" w14:textId="7CB854AA" w:rsidR="004D3F82" w:rsidRPr="0004050C" w:rsidRDefault="004D3F82" w:rsidP="000C5450">
      <w:pPr>
        <w:autoSpaceDE w:val="0"/>
        <w:autoSpaceDN w:val="0"/>
        <w:adjustRightInd w:val="0"/>
        <w:outlineLvl w:val="0"/>
        <w:rPr>
          <w:rFonts w:cs="Arial"/>
          <w:szCs w:val="18"/>
        </w:rPr>
      </w:pPr>
      <w:r w:rsidRPr="0004050C">
        <w:rPr>
          <w:rFonts w:cs="Arial"/>
          <w:szCs w:val="18"/>
        </w:rPr>
        <w:t xml:space="preserve">1 – </w:t>
      </w:r>
      <w:r w:rsidR="004D6F99" w:rsidRPr="0004050C">
        <w:rPr>
          <w:rFonts w:cs="Arial"/>
          <w:szCs w:val="18"/>
        </w:rPr>
        <w:t>C</w:t>
      </w:r>
      <w:r w:rsidRPr="0004050C">
        <w:rPr>
          <w:rFonts w:cs="Arial"/>
          <w:szCs w:val="18"/>
        </w:rPr>
        <w:t>ommission de conservation</w:t>
      </w:r>
    </w:p>
    <w:p w14:paraId="34AB8E05" w14:textId="07F1186D" w:rsidR="004D3F82" w:rsidRPr="0004050C" w:rsidRDefault="004D3F82" w:rsidP="000C5450">
      <w:pPr>
        <w:autoSpaceDE w:val="0"/>
        <w:autoSpaceDN w:val="0"/>
        <w:adjustRightInd w:val="0"/>
        <w:outlineLvl w:val="0"/>
        <w:rPr>
          <w:rFonts w:cs="Arial"/>
          <w:szCs w:val="18"/>
        </w:rPr>
      </w:pPr>
    </w:p>
    <w:tbl>
      <w:tblPr>
        <w:tblStyle w:val="Grilledutableau"/>
        <w:tblW w:w="0" w:type="auto"/>
        <w:tblLook w:val="04A0" w:firstRow="1" w:lastRow="0" w:firstColumn="1" w:lastColumn="0" w:noHBand="0" w:noVBand="1"/>
      </w:tblPr>
      <w:tblGrid>
        <w:gridCol w:w="5228"/>
        <w:gridCol w:w="5228"/>
      </w:tblGrid>
      <w:tr w:rsidR="004D3F82" w:rsidRPr="004829F6" w14:paraId="1926ABA9" w14:textId="77777777" w:rsidTr="004D3F82">
        <w:tc>
          <w:tcPr>
            <w:tcW w:w="5228" w:type="dxa"/>
          </w:tcPr>
          <w:p w14:paraId="4BE375F3" w14:textId="55F7DF44" w:rsidR="004D3F82" w:rsidRPr="0004050C" w:rsidRDefault="004D3F82" w:rsidP="000C5450">
            <w:pPr>
              <w:autoSpaceDE w:val="0"/>
              <w:autoSpaceDN w:val="0"/>
              <w:adjustRightInd w:val="0"/>
              <w:outlineLvl w:val="0"/>
              <w:rPr>
                <w:rFonts w:cs="Arial"/>
                <w:szCs w:val="18"/>
              </w:rPr>
            </w:pPr>
            <w:r w:rsidRPr="0004050C">
              <w:rPr>
                <w:rFonts w:cs="Arial"/>
                <w:szCs w:val="18"/>
              </w:rPr>
              <w:t>Droits de garde</w:t>
            </w:r>
          </w:p>
        </w:tc>
        <w:tc>
          <w:tcPr>
            <w:tcW w:w="5228" w:type="dxa"/>
          </w:tcPr>
          <w:p w14:paraId="7030BF45" w14:textId="146B3574" w:rsidR="004D3F82" w:rsidRPr="0004050C" w:rsidRDefault="004D3F82" w:rsidP="000C5450">
            <w:pPr>
              <w:autoSpaceDE w:val="0"/>
              <w:autoSpaceDN w:val="0"/>
              <w:adjustRightInd w:val="0"/>
              <w:outlineLvl w:val="0"/>
              <w:rPr>
                <w:rFonts w:cs="Arial"/>
                <w:szCs w:val="18"/>
              </w:rPr>
            </w:pPr>
            <w:r w:rsidRPr="0004050C">
              <w:rPr>
                <w:rFonts w:cs="Arial"/>
                <w:szCs w:val="18"/>
              </w:rPr>
              <w:t>0,20% HT</w:t>
            </w:r>
            <w:r w:rsidR="003B6BB4" w:rsidRPr="0004050C">
              <w:rPr>
                <w:rFonts w:cs="Arial"/>
                <w:szCs w:val="18"/>
              </w:rPr>
              <w:t xml:space="preserve"> soit 0,24% TTC</w:t>
            </w:r>
          </w:p>
        </w:tc>
      </w:tr>
    </w:tbl>
    <w:p w14:paraId="4742B948" w14:textId="77777777" w:rsidR="004D3F82" w:rsidRPr="0004050C" w:rsidRDefault="004D3F82" w:rsidP="000C5450">
      <w:pPr>
        <w:autoSpaceDE w:val="0"/>
        <w:autoSpaceDN w:val="0"/>
        <w:adjustRightInd w:val="0"/>
        <w:outlineLvl w:val="0"/>
        <w:rPr>
          <w:rFonts w:cs="Arial"/>
          <w:szCs w:val="18"/>
        </w:rPr>
      </w:pPr>
    </w:p>
    <w:p w14:paraId="725ECEF8" w14:textId="11E387BC" w:rsidR="004D3F82" w:rsidRPr="0004050C" w:rsidRDefault="004D3F82" w:rsidP="004D3F82">
      <w:pPr>
        <w:autoSpaceDE w:val="0"/>
        <w:autoSpaceDN w:val="0"/>
        <w:adjustRightInd w:val="0"/>
        <w:outlineLvl w:val="0"/>
        <w:rPr>
          <w:rFonts w:cs="Arial"/>
          <w:szCs w:val="18"/>
        </w:rPr>
      </w:pPr>
      <w:r w:rsidRPr="0004050C">
        <w:rPr>
          <w:rFonts w:cs="Arial"/>
          <w:szCs w:val="18"/>
        </w:rPr>
        <w:t>Les Droits de garde sont appliqués au total du portefeuille valorisé au 30 juin et au 31 décembre</w:t>
      </w:r>
      <w:r w:rsidR="004D6F99" w:rsidRPr="0004050C">
        <w:rPr>
          <w:rFonts w:cs="Arial"/>
          <w:szCs w:val="18"/>
        </w:rPr>
        <w:t xml:space="preserve"> </w:t>
      </w:r>
      <w:r w:rsidRPr="0004050C">
        <w:rPr>
          <w:rFonts w:cs="Arial"/>
          <w:szCs w:val="18"/>
        </w:rPr>
        <w:t>déduction faite des OPC et des valeurs du groupe des Banques Populaires et seront prélevés sur</w:t>
      </w:r>
      <w:r w:rsidR="004D6F99" w:rsidRPr="0004050C">
        <w:rPr>
          <w:rFonts w:cs="Arial"/>
          <w:szCs w:val="18"/>
        </w:rPr>
        <w:t xml:space="preserve"> </w:t>
      </w:r>
      <w:r w:rsidRPr="0004050C">
        <w:rPr>
          <w:rFonts w:cs="Arial"/>
          <w:szCs w:val="18"/>
        </w:rPr>
        <w:t>le compte N°</w:t>
      </w:r>
      <w:r w:rsidR="004D6F99" w:rsidRPr="0004050C">
        <w:rPr>
          <w:rFonts w:cs="Arial"/>
          <w:szCs w:val="18"/>
        </w:rPr>
        <w:t>______________</w:t>
      </w:r>
    </w:p>
    <w:p w14:paraId="1E23470E" w14:textId="3B73A84B" w:rsidR="004D3F82" w:rsidRPr="0004050C" w:rsidRDefault="004D3F82" w:rsidP="000C5450">
      <w:pPr>
        <w:autoSpaceDE w:val="0"/>
        <w:autoSpaceDN w:val="0"/>
        <w:adjustRightInd w:val="0"/>
        <w:outlineLvl w:val="0"/>
        <w:rPr>
          <w:rFonts w:cs="Arial"/>
          <w:szCs w:val="18"/>
        </w:rPr>
      </w:pPr>
    </w:p>
    <w:p w14:paraId="5F0C2A53" w14:textId="12388D2F" w:rsidR="004D3F82" w:rsidRPr="0004050C" w:rsidRDefault="004D6F99" w:rsidP="000C5450">
      <w:pPr>
        <w:autoSpaceDE w:val="0"/>
        <w:autoSpaceDN w:val="0"/>
        <w:adjustRightInd w:val="0"/>
        <w:outlineLvl w:val="0"/>
        <w:rPr>
          <w:rFonts w:cs="Arial"/>
          <w:szCs w:val="18"/>
        </w:rPr>
      </w:pPr>
      <w:r w:rsidRPr="0004050C">
        <w:rPr>
          <w:rFonts w:cs="Arial"/>
          <w:szCs w:val="18"/>
        </w:rPr>
        <w:t>2 – Commission de gestion</w:t>
      </w:r>
    </w:p>
    <w:p w14:paraId="1ABBF8DB" w14:textId="1F912FD8" w:rsidR="004D3F82" w:rsidRPr="0004050C" w:rsidRDefault="004D3F82" w:rsidP="000C5450">
      <w:pPr>
        <w:autoSpaceDE w:val="0"/>
        <w:autoSpaceDN w:val="0"/>
        <w:adjustRightInd w:val="0"/>
        <w:outlineLvl w:val="0"/>
        <w:rPr>
          <w:rFonts w:cs="Arial"/>
          <w:szCs w:val="18"/>
        </w:rPr>
      </w:pPr>
    </w:p>
    <w:p w14:paraId="1FE5452A" w14:textId="78278BC5" w:rsidR="004D6F99" w:rsidRPr="0004050C" w:rsidRDefault="004D6F99" w:rsidP="000C5450">
      <w:pPr>
        <w:autoSpaceDE w:val="0"/>
        <w:autoSpaceDN w:val="0"/>
        <w:adjustRightInd w:val="0"/>
        <w:outlineLvl w:val="0"/>
        <w:rPr>
          <w:rFonts w:cs="Arial"/>
          <w:szCs w:val="18"/>
        </w:rPr>
      </w:pPr>
      <w:r w:rsidRPr="0004050C">
        <w:rPr>
          <w:rFonts w:cs="Arial"/>
          <w:szCs w:val="18"/>
        </w:rPr>
        <w:t>Elle est calculée par tranche en fonction du montant du portefeuille</w:t>
      </w:r>
      <w:r w:rsidR="00DC5559">
        <w:rPr>
          <w:rFonts w:cs="Arial"/>
          <w:szCs w:val="18"/>
        </w:rPr>
        <w:t xml:space="preserve"> </w:t>
      </w:r>
      <w:r w:rsidR="00DC5559" w:rsidRPr="0066300D">
        <w:rPr>
          <w:rFonts w:cs="Arial"/>
          <w:szCs w:val="18"/>
        </w:rPr>
        <w:t>(exclusion faite du « hors gestion »).</w:t>
      </w:r>
    </w:p>
    <w:p w14:paraId="75F15FC9" w14:textId="77777777" w:rsidR="00080D57" w:rsidRPr="0004050C" w:rsidRDefault="00080D57" w:rsidP="00080D57">
      <w:pPr>
        <w:autoSpaceDE w:val="0"/>
        <w:autoSpaceDN w:val="0"/>
        <w:adjustRightInd w:val="0"/>
        <w:outlineLvl w:val="0"/>
        <w:rPr>
          <w:rFonts w:cs="Arial"/>
          <w:szCs w:val="18"/>
        </w:rPr>
      </w:pPr>
      <w:r w:rsidRPr="0004050C">
        <w:rPr>
          <w:rFonts w:cs="Arial"/>
          <w:szCs w:val="18"/>
        </w:rPr>
        <w:t>Dans tous les cas, le montant minimum de la rémunération ne pourra être inférieur à 250 € HT (300 € TTC) par semestre.</w:t>
      </w:r>
    </w:p>
    <w:p w14:paraId="46AFA515" w14:textId="77777777" w:rsidR="00080D57" w:rsidRPr="0004050C" w:rsidRDefault="00080D57" w:rsidP="000C5450">
      <w:pPr>
        <w:autoSpaceDE w:val="0"/>
        <w:autoSpaceDN w:val="0"/>
        <w:adjustRightInd w:val="0"/>
        <w:outlineLvl w:val="0"/>
        <w:rPr>
          <w:rFonts w:cs="Arial"/>
          <w:szCs w:val="18"/>
        </w:rPr>
      </w:pPr>
    </w:p>
    <w:p w14:paraId="5BC7FB8B" w14:textId="076FD73A" w:rsidR="004D3F82" w:rsidRPr="0004050C" w:rsidRDefault="004D3F82" w:rsidP="000C5450">
      <w:pPr>
        <w:autoSpaceDE w:val="0"/>
        <w:autoSpaceDN w:val="0"/>
        <w:adjustRightInd w:val="0"/>
        <w:outlineLvl w:val="0"/>
        <w:rPr>
          <w:rFonts w:cs="Arial"/>
          <w:szCs w:val="18"/>
        </w:rPr>
      </w:pPr>
    </w:p>
    <w:tbl>
      <w:tblPr>
        <w:tblStyle w:val="Grilledutableau"/>
        <w:tblW w:w="0" w:type="auto"/>
        <w:tblLook w:val="04A0" w:firstRow="1" w:lastRow="0" w:firstColumn="1" w:lastColumn="0" w:noHBand="0" w:noVBand="1"/>
      </w:tblPr>
      <w:tblGrid>
        <w:gridCol w:w="5228"/>
        <w:gridCol w:w="5228"/>
      </w:tblGrid>
      <w:tr w:rsidR="004D6F99" w:rsidRPr="004829F6" w14:paraId="5648D0CA" w14:textId="77777777" w:rsidTr="004D6F99">
        <w:tc>
          <w:tcPr>
            <w:tcW w:w="5228" w:type="dxa"/>
          </w:tcPr>
          <w:p w14:paraId="31FE3C66" w14:textId="6FC27438" w:rsidR="004D6F99" w:rsidRPr="0004050C" w:rsidRDefault="00080D57" w:rsidP="00080D57">
            <w:pPr>
              <w:autoSpaceDE w:val="0"/>
              <w:autoSpaceDN w:val="0"/>
              <w:adjustRightInd w:val="0"/>
              <w:jc w:val="center"/>
              <w:outlineLvl w:val="0"/>
              <w:rPr>
                <w:rFonts w:cs="Arial"/>
                <w:szCs w:val="18"/>
              </w:rPr>
            </w:pPr>
            <w:r w:rsidRPr="0004050C">
              <w:rPr>
                <w:rFonts w:cs="Arial"/>
                <w:szCs w:val="18"/>
              </w:rPr>
              <w:t>Tranches</w:t>
            </w:r>
          </w:p>
        </w:tc>
        <w:tc>
          <w:tcPr>
            <w:tcW w:w="5228" w:type="dxa"/>
          </w:tcPr>
          <w:p w14:paraId="015FE109" w14:textId="6840C771" w:rsidR="004D6F99" w:rsidRPr="0004050C" w:rsidRDefault="00080D57" w:rsidP="00080D57">
            <w:pPr>
              <w:autoSpaceDE w:val="0"/>
              <w:autoSpaceDN w:val="0"/>
              <w:adjustRightInd w:val="0"/>
              <w:jc w:val="center"/>
              <w:outlineLvl w:val="0"/>
              <w:rPr>
                <w:rFonts w:cs="Arial"/>
                <w:szCs w:val="18"/>
              </w:rPr>
            </w:pPr>
            <w:r w:rsidRPr="0004050C">
              <w:rPr>
                <w:rFonts w:cs="Arial"/>
                <w:szCs w:val="18"/>
              </w:rPr>
              <w:t>Commission proportionnelle</w:t>
            </w:r>
          </w:p>
        </w:tc>
      </w:tr>
      <w:tr w:rsidR="004D6F99" w:rsidRPr="004829F6" w14:paraId="5760A39A" w14:textId="77777777" w:rsidTr="004D6F99">
        <w:tc>
          <w:tcPr>
            <w:tcW w:w="5228" w:type="dxa"/>
          </w:tcPr>
          <w:p w14:paraId="427EA9E7" w14:textId="21E74D65" w:rsidR="004D6F99" w:rsidRPr="0004050C" w:rsidRDefault="004D6F99" w:rsidP="000C5450">
            <w:pPr>
              <w:autoSpaceDE w:val="0"/>
              <w:autoSpaceDN w:val="0"/>
              <w:adjustRightInd w:val="0"/>
              <w:outlineLvl w:val="0"/>
              <w:rPr>
                <w:rFonts w:cs="Arial"/>
                <w:szCs w:val="18"/>
              </w:rPr>
            </w:pPr>
            <w:r w:rsidRPr="0004050C">
              <w:rPr>
                <w:rFonts w:cs="Arial"/>
                <w:szCs w:val="18"/>
              </w:rPr>
              <w:t xml:space="preserve">Portefeuille dont le montant est inférieur </w:t>
            </w:r>
            <w:r w:rsidR="00080D57" w:rsidRPr="0004050C">
              <w:rPr>
                <w:rFonts w:cs="Arial"/>
                <w:szCs w:val="18"/>
              </w:rPr>
              <w:t xml:space="preserve">ou égal </w:t>
            </w:r>
            <w:r w:rsidRPr="0004050C">
              <w:rPr>
                <w:rFonts w:cs="Arial"/>
                <w:szCs w:val="18"/>
              </w:rPr>
              <w:t>à 149 999 €</w:t>
            </w:r>
          </w:p>
        </w:tc>
        <w:tc>
          <w:tcPr>
            <w:tcW w:w="5228" w:type="dxa"/>
          </w:tcPr>
          <w:p w14:paraId="1048E407" w14:textId="3F32EA5C" w:rsidR="004D6F99" w:rsidRPr="0004050C" w:rsidRDefault="00080D57" w:rsidP="00080D57">
            <w:pPr>
              <w:autoSpaceDE w:val="0"/>
              <w:autoSpaceDN w:val="0"/>
              <w:adjustRightInd w:val="0"/>
              <w:jc w:val="center"/>
              <w:outlineLvl w:val="0"/>
              <w:rPr>
                <w:rFonts w:cs="Arial"/>
                <w:szCs w:val="18"/>
              </w:rPr>
            </w:pPr>
            <w:r w:rsidRPr="0004050C">
              <w:rPr>
                <w:rFonts w:cs="Arial"/>
                <w:szCs w:val="18"/>
              </w:rPr>
              <w:t>0,60% HT l’an</w:t>
            </w:r>
            <w:r w:rsidR="003B6BB4" w:rsidRPr="0004050C">
              <w:rPr>
                <w:rFonts w:cs="Arial"/>
                <w:szCs w:val="18"/>
              </w:rPr>
              <w:t xml:space="preserve"> soit 0,72% TTC</w:t>
            </w:r>
          </w:p>
        </w:tc>
      </w:tr>
      <w:tr w:rsidR="004D6F99" w:rsidRPr="004829F6" w14:paraId="68D431DF" w14:textId="77777777" w:rsidTr="004D6F99">
        <w:tc>
          <w:tcPr>
            <w:tcW w:w="5228" w:type="dxa"/>
          </w:tcPr>
          <w:p w14:paraId="31713A97" w14:textId="293ABFA6" w:rsidR="004D6F99" w:rsidRPr="0004050C" w:rsidRDefault="004D6F99" w:rsidP="000C5450">
            <w:pPr>
              <w:autoSpaceDE w:val="0"/>
              <w:autoSpaceDN w:val="0"/>
              <w:adjustRightInd w:val="0"/>
              <w:outlineLvl w:val="0"/>
              <w:rPr>
                <w:rFonts w:cs="Arial"/>
                <w:szCs w:val="18"/>
              </w:rPr>
            </w:pPr>
            <w:r w:rsidRPr="0004050C">
              <w:rPr>
                <w:rFonts w:cs="Arial"/>
                <w:szCs w:val="18"/>
              </w:rPr>
              <w:t>Portefeuille compris entre 150 000 € et 299</w:t>
            </w:r>
            <w:r w:rsidR="00080D57" w:rsidRPr="0004050C">
              <w:rPr>
                <w:rFonts w:cs="Arial"/>
                <w:szCs w:val="18"/>
              </w:rPr>
              <w:t> </w:t>
            </w:r>
            <w:r w:rsidRPr="0004050C">
              <w:rPr>
                <w:rFonts w:cs="Arial"/>
                <w:szCs w:val="18"/>
              </w:rPr>
              <w:t>99</w:t>
            </w:r>
            <w:r w:rsidR="00080D57" w:rsidRPr="0004050C">
              <w:rPr>
                <w:rFonts w:cs="Arial"/>
                <w:szCs w:val="18"/>
              </w:rPr>
              <w:t>9 €</w:t>
            </w:r>
          </w:p>
        </w:tc>
        <w:tc>
          <w:tcPr>
            <w:tcW w:w="5228" w:type="dxa"/>
          </w:tcPr>
          <w:p w14:paraId="5FE17F0E" w14:textId="148A5BB0" w:rsidR="004D6F99" w:rsidRPr="0004050C" w:rsidRDefault="00080D57" w:rsidP="00080D57">
            <w:pPr>
              <w:autoSpaceDE w:val="0"/>
              <w:autoSpaceDN w:val="0"/>
              <w:adjustRightInd w:val="0"/>
              <w:jc w:val="center"/>
              <w:outlineLvl w:val="0"/>
              <w:rPr>
                <w:rFonts w:cs="Arial"/>
                <w:szCs w:val="18"/>
              </w:rPr>
            </w:pPr>
            <w:r w:rsidRPr="0004050C">
              <w:rPr>
                <w:rFonts w:cs="Arial"/>
                <w:szCs w:val="18"/>
              </w:rPr>
              <w:t>0,50% HT l’an</w:t>
            </w:r>
            <w:r w:rsidR="003B6BB4" w:rsidRPr="0004050C">
              <w:rPr>
                <w:rFonts w:cs="Arial"/>
                <w:szCs w:val="18"/>
              </w:rPr>
              <w:t xml:space="preserve"> soit 0,60% TTC</w:t>
            </w:r>
          </w:p>
        </w:tc>
      </w:tr>
      <w:tr w:rsidR="004D6F99" w:rsidRPr="004829F6" w14:paraId="0FFAACDD" w14:textId="77777777" w:rsidTr="004D6F99">
        <w:tc>
          <w:tcPr>
            <w:tcW w:w="5228" w:type="dxa"/>
          </w:tcPr>
          <w:p w14:paraId="2F8A2688" w14:textId="60CB2607" w:rsidR="004D6F99" w:rsidRPr="0004050C" w:rsidRDefault="00080D57" w:rsidP="000C5450">
            <w:pPr>
              <w:autoSpaceDE w:val="0"/>
              <w:autoSpaceDN w:val="0"/>
              <w:adjustRightInd w:val="0"/>
              <w:outlineLvl w:val="0"/>
              <w:rPr>
                <w:rFonts w:cs="Arial"/>
                <w:szCs w:val="18"/>
              </w:rPr>
            </w:pPr>
            <w:r w:rsidRPr="0004050C">
              <w:rPr>
                <w:rFonts w:cs="Arial"/>
                <w:szCs w:val="18"/>
              </w:rPr>
              <w:t>Portefeuille compris entre 300 000 € et 599 999 €</w:t>
            </w:r>
          </w:p>
        </w:tc>
        <w:tc>
          <w:tcPr>
            <w:tcW w:w="5228" w:type="dxa"/>
          </w:tcPr>
          <w:p w14:paraId="61F5062C" w14:textId="41C5AFA5" w:rsidR="004D6F99" w:rsidRPr="0004050C" w:rsidRDefault="00080D57" w:rsidP="00080D57">
            <w:pPr>
              <w:autoSpaceDE w:val="0"/>
              <w:autoSpaceDN w:val="0"/>
              <w:adjustRightInd w:val="0"/>
              <w:jc w:val="center"/>
              <w:outlineLvl w:val="0"/>
              <w:rPr>
                <w:rFonts w:cs="Arial"/>
                <w:szCs w:val="18"/>
              </w:rPr>
            </w:pPr>
            <w:r w:rsidRPr="0004050C">
              <w:rPr>
                <w:rFonts w:cs="Arial"/>
                <w:szCs w:val="18"/>
              </w:rPr>
              <w:t>0,40% HT l’an</w:t>
            </w:r>
            <w:r w:rsidR="003B6BB4" w:rsidRPr="0004050C">
              <w:rPr>
                <w:rFonts w:cs="Arial"/>
                <w:szCs w:val="18"/>
              </w:rPr>
              <w:t xml:space="preserve"> soit 0,48% TTC</w:t>
            </w:r>
          </w:p>
        </w:tc>
      </w:tr>
      <w:tr w:rsidR="004D6F99" w:rsidRPr="004829F6" w14:paraId="4FB6B601" w14:textId="77777777" w:rsidTr="004D6F99">
        <w:tc>
          <w:tcPr>
            <w:tcW w:w="5228" w:type="dxa"/>
          </w:tcPr>
          <w:p w14:paraId="1EC65CD3" w14:textId="65CC42AB" w:rsidR="004D6F99" w:rsidRPr="0004050C" w:rsidRDefault="00080D57" w:rsidP="000C5450">
            <w:pPr>
              <w:autoSpaceDE w:val="0"/>
              <w:autoSpaceDN w:val="0"/>
              <w:adjustRightInd w:val="0"/>
              <w:outlineLvl w:val="0"/>
              <w:rPr>
                <w:rFonts w:cs="Arial"/>
                <w:szCs w:val="18"/>
              </w:rPr>
            </w:pPr>
            <w:r w:rsidRPr="0004050C">
              <w:rPr>
                <w:rFonts w:cs="Arial"/>
                <w:szCs w:val="18"/>
              </w:rPr>
              <w:t>Portefeuille pour la partie supérieure à 600 000 €</w:t>
            </w:r>
          </w:p>
        </w:tc>
        <w:tc>
          <w:tcPr>
            <w:tcW w:w="5228" w:type="dxa"/>
          </w:tcPr>
          <w:p w14:paraId="3AE3C985" w14:textId="666727EE" w:rsidR="004D6F99" w:rsidRPr="0004050C" w:rsidRDefault="00080D57" w:rsidP="00080D57">
            <w:pPr>
              <w:autoSpaceDE w:val="0"/>
              <w:autoSpaceDN w:val="0"/>
              <w:adjustRightInd w:val="0"/>
              <w:jc w:val="center"/>
              <w:outlineLvl w:val="0"/>
              <w:rPr>
                <w:rFonts w:cs="Arial"/>
                <w:szCs w:val="18"/>
              </w:rPr>
            </w:pPr>
            <w:r w:rsidRPr="0004050C">
              <w:rPr>
                <w:rFonts w:cs="Arial"/>
                <w:szCs w:val="18"/>
              </w:rPr>
              <w:t>0,30% HT l’an</w:t>
            </w:r>
            <w:r w:rsidR="003B6BB4" w:rsidRPr="0004050C">
              <w:rPr>
                <w:rFonts w:cs="Arial"/>
                <w:szCs w:val="18"/>
              </w:rPr>
              <w:t xml:space="preserve"> soit 0,36% TTC</w:t>
            </w:r>
          </w:p>
        </w:tc>
      </w:tr>
    </w:tbl>
    <w:p w14:paraId="68A08756" w14:textId="4CA58FF3" w:rsidR="004D3F82" w:rsidRPr="0004050C" w:rsidRDefault="004D3F82" w:rsidP="000C5450">
      <w:pPr>
        <w:autoSpaceDE w:val="0"/>
        <w:autoSpaceDN w:val="0"/>
        <w:adjustRightInd w:val="0"/>
        <w:outlineLvl w:val="0"/>
        <w:rPr>
          <w:rFonts w:cs="Arial"/>
          <w:szCs w:val="18"/>
        </w:rPr>
      </w:pPr>
    </w:p>
    <w:p w14:paraId="0690304D" w14:textId="3CFD60CF" w:rsidR="00080D57" w:rsidRPr="0004050C" w:rsidRDefault="00080D57" w:rsidP="000C5450">
      <w:pPr>
        <w:autoSpaceDE w:val="0"/>
        <w:autoSpaceDN w:val="0"/>
        <w:adjustRightInd w:val="0"/>
        <w:outlineLvl w:val="0"/>
        <w:rPr>
          <w:rFonts w:cs="Arial"/>
          <w:szCs w:val="18"/>
        </w:rPr>
      </w:pPr>
    </w:p>
    <w:p w14:paraId="5F77BA17" w14:textId="6377C6FD" w:rsidR="00080D57" w:rsidRPr="0004050C" w:rsidRDefault="00080D57" w:rsidP="000C5450">
      <w:pPr>
        <w:autoSpaceDE w:val="0"/>
        <w:autoSpaceDN w:val="0"/>
        <w:adjustRightInd w:val="0"/>
        <w:outlineLvl w:val="0"/>
        <w:rPr>
          <w:rFonts w:cs="Arial"/>
          <w:szCs w:val="18"/>
        </w:rPr>
      </w:pPr>
      <w:r w:rsidRPr="0004050C">
        <w:rPr>
          <w:rFonts w:cs="Arial"/>
          <w:szCs w:val="18"/>
        </w:rPr>
        <w:t>3 – Frais sur opérations</w:t>
      </w:r>
      <w:r w:rsidR="0013146C" w:rsidRPr="0004050C">
        <w:rPr>
          <w:rFonts w:cs="Arial"/>
          <w:szCs w:val="18"/>
        </w:rPr>
        <w:t xml:space="preserve"> (courtages)</w:t>
      </w:r>
    </w:p>
    <w:p w14:paraId="16FB9AFC" w14:textId="77777777" w:rsidR="00080D57" w:rsidRPr="0004050C" w:rsidRDefault="00080D57" w:rsidP="000C5450">
      <w:pPr>
        <w:autoSpaceDE w:val="0"/>
        <w:autoSpaceDN w:val="0"/>
        <w:adjustRightInd w:val="0"/>
        <w:outlineLvl w:val="0"/>
        <w:rPr>
          <w:rFonts w:cs="Arial"/>
          <w:szCs w:val="18"/>
        </w:rPr>
      </w:pPr>
    </w:p>
    <w:tbl>
      <w:tblPr>
        <w:tblStyle w:val="Grilledutableau"/>
        <w:tblW w:w="0" w:type="auto"/>
        <w:tblLook w:val="04A0" w:firstRow="1" w:lastRow="0" w:firstColumn="1" w:lastColumn="0" w:noHBand="0" w:noVBand="1"/>
      </w:tblPr>
      <w:tblGrid>
        <w:gridCol w:w="3485"/>
        <w:gridCol w:w="3485"/>
        <w:gridCol w:w="3486"/>
      </w:tblGrid>
      <w:tr w:rsidR="00C1003A" w:rsidRPr="004829F6" w14:paraId="5A75BDFF" w14:textId="77777777" w:rsidTr="00E46AC4">
        <w:trPr>
          <w:trHeight w:val="406"/>
        </w:trPr>
        <w:tc>
          <w:tcPr>
            <w:tcW w:w="3485" w:type="dxa"/>
          </w:tcPr>
          <w:p w14:paraId="486D5BB8" w14:textId="77777777" w:rsidR="00C1003A" w:rsidRPr="0004050C" w:rsidRDefault="00C1003A" w:rsidP="000C5450">
            <w:pPr>
              <w:autoSpaceDE w:val="0"/>
              <w:autoSpaceDN w:val="0"/>
              <w:adjustRightInd w:val="0"/>
              <w:outlineLvl w:val="0"/>
              <w:rPr>
                <w:rFonts w:cs="Arial"/>
                <w:szCs w:val="18"/>
              </w:rPr>
            </w:pPr>
          </w:p>
        </w:tc>
        <w:tc>
          <w:tcPr>
            <w:tcW w:w="3485" w:type="dxa"/>
          </w:tcPr>
          <w:p w14:paraId="266482BA" w14:textId="38F6AA5B" w:rsidR="00C1003A" w:rsidRPr="0004050C" w:rsidRDefault="00C1003A" w:rsidP="00E46AC4">
            <w:pPr>
              <w:autoSpaceDE w:val="0"/>
              <w:autoSpaceDN w:val="0"/>
              <w:adjustRightInd w:val="0"/>
              <w:jc w:val="center"/>
              <w:outlineLvl w:val="0"/>
              <w:rPr>
                <w:rFonts w:cs="Arial"/>
                <w:szCs w:val="18"/>
              </w:rPr>
            </w:pPr>
            <w:r w:rsidRPr="0004050C">
              <w:rPr>
                <w:rFonts w:cs="Arial"/>
                <w:szCs w:val="18"/>
              </w:rPr>
              <w:t>Taux par transaction</w:t>
            </w:r>
          </w:p>
        </w:tc>
        <w:tc>
          <w:tcPr>
            <w:tcW w:w="3486" w:type="dxa"/>
          </w:tcPr>
          <w:p w14:paraId="78F7EE16" w14:textId="24D5CDCC" w:rsidR="00C1003A" w:rsidRPr="0004050C" w:rsidRDefault="00C1003A" w:rsidP="00E46AC4">
            <w:pPr>
              <w:autoSpaceDE w:val="0"/>
              <w:autoSpaceDN w:val="0"/>
              <w:adjustRightInd w:val="0"/>
              <w:jc w:val="center"/>
              <w:outlineLvl w:val="0"/>
              <w:rPr>
                <w:rFonts w:cs="Arial"/>
                <w:szCs w:val="18"/>
              </w:rPr>
            </w:pPr>
            <w:r w:rsidRPr="0004050C">
              <w:rPr>
                <w:rFonts w:cs="Arial"/>
                <w:szCs w:val="18"/>
              </w:rPr>
              <w:t>Informations complémentaires</w:t>
            </w:r>
          </w:p>
        </w:tc>
      </w:tr>
      <w:tr w:rsidR="00C1003A" w:rsidRPr="004829F6" w14:paraId="7AFCEACC" w14:textId="77777777" w:rsidTr="00E46AC4">
        <w:trPr>
          <w:trHeight w:val="565"/>
        </w:trPr>
        <w:tc>
          <w:tcPr>
            <w:tcW w:w="3485" w:type="dxa"/>
          </w:tcPr>
          <w:p w14:paraId="7206D126" w14:textId="0D0384E3" w:rsidR="00C1003A" w:rsidRPr="0004050C" w:rsidRDefault="00C1003A" w:rsidP="000C5450">
            <w:pPr>
              <w:autoSpaceDE w:val="0"/>
              <w:autoSpaceDN w:val="0"/>
              <w:adjustRightInd w:val="0"/>
              <w:outlineLvl w:val="0"/>
              <w:rPr>
                <w:rFonts w:cs="Arial"/>
                <w:szCs w:val="18"/>
              </w:rPr>
            </w:pPr>
            <w:r w:rsidRPr="0004050C">
              <w:rPr>
                <w:rFonts w:cs="Arial"/>
                <w:szCs w:val="18"/>
              </w:rPr>
              <w:t>Bourse Euronext</w:t>
            </w:r>
          </w:p>
        </w:tc>
        <w:tc>
          <w:tcPr>
            <w:tcW w:w="3485" w:type="dxa"/>
          </w:tcPr>
          <w:p w14:paraId="0A92A621" w14:textId="33B2CAAA" w:rsidR="00C1003A" w:rsidRPr="0004050C" w:rsidRDefault="00C1003A" w:rsidP="00E46AC4">
            <w:pPr>
              <w:autoSpaceDE w:val="0"/>
              <w:autoSpaceDN w:val="0"/>
              <w:adjustRightInd w:val="0"/>
              <w:jc w:val="center"/>
              <w:outlineLvl w:val="0"/>
              <w:rPr>
                <w:rFonts w:cs="Arial"/>
                <w:szCs w:val="18"/>
              </w:rPr>
            </w:pPr>
            <w:r w:rsidRPr="0004050C">
              <w:rPr>
                <w:rFonts w:cs="Arial"/>
                <w:szCs w:val="18"/>
              </w:rPr>
              <w:t>1,20%</w:t>
            </w:r>
          </w:p>
        </w:tc>
        <w:tc>
          <w:tcPr>
            <w:tcW w:w="3486" w:type="dxa"/>
          </w:tcPr>
          <w:p w14:paraId="36FBF543" w14:textId="21001A46" w:rsidR="00C1003A" w:rsidRPr="0004050C" w:rsidRDefault="00C1003A" w:rsidP="00E46AC4">
            <w:pPr>
              <w:autoSpaceDE w:val="0"/>
              <w:autoSpaceDN w:val="0"/>
              <w:adjustRightInd w:val="0"/>
              <w:jc w:val="center"/>
              <w:outlineLvl w:val="0"/>
              <w:rPr>
                <w:rFonts w:cs="Arial"/>
                <w:szCs w:val="18"/>
              </w:rPr>
            </w:pPr>
            <w:r w:rsidRPr="0004050C">
              <w:rPr>
                <w:rFonts w:cs="Arial"/>
                <w:szCs w:val="18"/>
              </w:rPr>
              <w:t>Pas de minimum forfaitaire</w:t>
            </w:r>
          </w:p>
        </w:tc>
      </w:tr>
      <w:tr w:rsidR="00C1003A" w:rsidRPr="004829F6" w14:paraId="35266DD2" w14:textId="77777777" w:rsidTr="00C1003A">
        <w:tc>
          <w:tcPr>
            <w:tcW w:w="3485" w:type="dxa"/>
          </w:tcPr>
          <w:p w14:paraId="4359A05C" w14:textId="77777777" w:rsidR="00C1003A" w:rsidRPr="0004050C" w:rsidRDefault="00C1003A" w:rsidP="000C5450">
            <w:pPr>
              <w:autoSpaceDE w:val="0"/>
              <w:autoSpaceDN w:val="0"/>
              <w:adjustRightInd w:val="0"/>
              <w:outlineLvl w:val="0"/>
              <w:rPr>
                <w:rFonts w:cs="Arial"/>
                <w:szCs w:val="18"/>
              </w:rPr>
            </w:pPr>
            <w:r w:rsidRPr="0004050C">
              <w:rPr>
                <w:rFonts w:cs="Arial"/>
                <w:szCs w:val="18"/>
              </w:rPr>
              <w:t>Bourses étrangères</w:t>
            </w:r>
          </w:p>
          <w:p w14:paraId="3DD3F672" w14:textId="77777777" w:rsidR="00C1003A" w:rsidRPr="0004050C" w:rsidRDefault="00C1003A" w:rsidP="00E46AC4">
            <w:pPr>
              <w:autoSpaceDE w:val="0"/>
              <w:autoSpaceDN w:val="0"/>
              <w:adjustRightInd w:val="0"/>
              <w:jc w:val="right"/>
              <w:outlineLvl w:val="0"/>
              <w:rPr>
                <w:rFonts w:cs="Arial"/>
                <w:szCs w:val="18"/>
              </w:rPr>
            </w:pPr>
            <w:r w:rsidRPr="0004050C">
              <w:rPr>
                <w:rFonts w:cs="Arial"/>
                <w:szCs w:val="18"/>
              </w:rPr>
              <w:t>CTO</w:t>
            </w:r>
          </w:p>
          <w:p w14:paraId="53C87DAF" w14:textId="7B7F4F46" w:rsidR="00C1003A" w:rsidRPr="0004050C" w:rsidRDefault="00C1003A" w:rsidP="00E46AC4">
            <w:pPr>
              <w:autoSpaceDE w:val="0"/>
              <w:autoSpaceDN w:val="0"/>
              <w:adjustRightInd w:val="0"/>
              <w:jc w:val="right"/>
              <w:outlineLvl w:val="0"/>
              <w:rPr>
                <w:rFonts w:cs="Arial"/>
                <w:szCs w:val="18"/>
              </w:rPr>
            </w:pPr>
            <w:r w:rsidRPr="0004050C">
              <w:rPr>
                <w:rFonts w:cs="Arial"/>
                <w:szCs w:val="18"/>
              </w:rPr>
              <w:t>PEA</w:t>
            </w:r>
          </w:p>
        </w:tc>
        <w:tc>
          <w:tcPr>
            <w:tcW w:w="3485" w:type="dxa"/>
          </w:tcPr>
          <w:p w14:paraId="0C3C3016" w14:textId="77777777" w:rsidR="00C1003A" w:rsidRPr="0004050C" w:rsidRDefault="00C1003A" w:rsidP="00E46AC4">
            <w:pPr>
              <w:autoSpaceDE w:val="0"/>
              <w:autoSpaceDN w:val="0"/>
              <w:adjustRightInd w:val="0"/>
              <w:jc w:val="center"/>
              <w:outlineLvl w:val="0"/>
              <w:rPr>
                <w:rFonts w:cs="Arial"/>
                <w:szCs w:val="18"/>
              </w:rPr>
            </w:pPr>
          </w:p>
          <w:p w14:paraId="5F74ACBD" w14:textId="77777777" w:rsidR="00C1003A" w:rsidRPr="0066300D" w:rsidRDefault="00C1003A" w:rsidP="00E46AC4">
            <w:pPr>
              <w:autoSpaceDE w:val="0"/>
              <w:autoSpaceDN w:val="0"/>
              <w:adjustRightInd w:val="0"/>
              <w:jc w:val="center"/>
              <w:outlineLvl w:val="0"/>
              <w:rPr>
                <w:rFonts w:cs="Arial"/>
                <w:szCs w:val="18"/>
              </w:rPr>
            </w:pPr>
            <w:r w:rsidRPr="0066300D">
              <w:rPr>
                <w:rFonts w:cs="Arial"/>
                <w:szCs w:val="18"/>
              </w:rPr>
              <w:t>1,30%</w:t>
            </w:r>
          </w:p>
          <w:p w14:paraId="4D8A79DD" w14:textId="25CB3361" w:rsidR="00C1003A" w:rsidRPr="0004050C" w:rsidRDefault="00C1003A" w:rsidP="00E46AC4">
            <w:pPr>
              <w:autoSpaceDE w:val="0"/>
              <w:autoSpaceDN w:val="0"/>
              <w:adjustRightInd w:val="0"/>
              <w:jc w:val="center"/>
              <w:outlineLvl w:val="0"/>
              <w:rPr>
                <w:rFonts w:cs="Arial"/>
                <w:szCs w:val="18"/>
              </w:rPr>
            </w:pPr>
            <w:r w:rsidRPr="0066300D">
              <w:rPr>
                <w:rFonts w:cs="Arial"/>
                <w:szCs w:val="18"/>
              </w:rPr>
              <w:t>1,20%</w:t>
            </w:r>
          </w:p>
        </w:tc>
        <w:tc>
          <w:tcPr>
            <w:tcW w:w="3486" w:type="dxa"/>
          </w:tcPr>
          <w:p w14:paraId="786C8910" w14:textId="77777777" w:rsidR="00C1003A" w:rsidRPr="0004050C" w:rsidRDefault="00C1003A" w:rsidP="00E46AC4">
            <w:pPr>
              <w:autoSpaceDE w:val="0"/>
              <w:autoSpaceDN w:val="0"/>
              <w:adjustRightInd w:val="0"/>
              <w:jc w:val="center"/>
              <w:outlineLvl w:val="0"/>
              <w:rPr>
                <w:rFonts w:cs="Arial"/>
                <w:szCs w:val="18"/>
              </w:rPr>
            </w:pPr>
          </w:p>
          <w:p w14:paraId="02D0D354" w14:textId="77777777" w:rsidR="00C1003A" w:rsidRPr="0004050C" w:rsidRDefault="00C1003A" w:rsidP="00E46AC4">
            <w:pPr>
              <w:autoSpaceDE w:val="0"/>
              <w:autoSpaceDN w:val="0"/>
              <w:adjustRightInd w:val="0"/>
              <w:jc w:val="center"/>
              <w:outlineLvl w:val="0"/>
              <w:rPr>
                <w:rFonts w:cs="Arial"/>
                <w:szCs w:val="18"/>
              </w:rPr>
            </w:pPr>
            <w:r w:rsidRPr="0004050C">
              <w:rPr>
                <w:rFonts w:cs="Arial"/>
                <w:szCs w:val="18"/>
              </w:rPr>
              <w:t>Minimum 136 €</w:t>
            </w:r>
          </w:p>
          <w:p w14:paraId="54720493" w14:textId="79B194EC" w:rsidR="00C1003A" w:rsidRPr="0004050C" w:rsidRDefault="00C1003A" w:rsidP="00E46AC4">
            <w:pPr>
              <w:autoSpaceDE w:val="0"/>
              <w:autoSpaceDN w:val="0"/>
              <w:adjustRightInd w:val="0"/>
              <w:jc w:val="center"/>
              <w:outlineLvl w:val="0"/>
              <w:rPr>
                <w:rFonts w:cs="Arial"/>
                <w:szCs w:val="18"/>
              </w:rPr>
            </w:pPr>
            <w:r w:rsidRPr="0004050C">
              <w:rPr>
                <w:rFonts w:cs="Arial"/>
                <w:szCs w:val="18"/>
              </w:rPr>
              <w:t>Pas de minimum</w:t>
            </w:r>
          </w:p>
        </w:tc>
      </w:tr>
      <w:tr w:rsidR="00C1003A" w:rsidRPr="004829F6" w14:paraId="05BFC959" w14:textId="77777777" w:rsidTr="00E46AC4">
        <w:trPr>
          <w:trHeight w:val="586"/>
        </w:trPr>
        <w:tc>
          <w:tcPr>
            <w:tcW w:w="3485" w:type="dxa"/>
          </w:tcPr>
          <w:p w14:paraId="1E4FD2C7" w14:textId="4F08AD12" w:rsidR="00C1003A" w:rsidRPr="0004050C" w:rsidRDefault="00C1003A" w:rsidP="00C1003A">
            <w:pPr>
              <w:autoSpaceDE w:val="0"/>
              <w:autoSpaceDN w:val="0"/>
              <w:adjustRightInd w:val="0"/>
              <w:outlineLvl w:val="0"/>
              <w:rPr>
                <w:rFonts w:cs="Arial"/>
                <w:szCs w:val="18"/>
              </w:rPr>
            </w:pPr>
            <w:r w:rsidRPr="0004050C">
              <w:rPr>
                <w:rFonts w:cs="Arial"/>
                <w:szCs w:val="18"/>
              </w:rPr>
              <w:t>Titres nominatifs</w:t>
            </w:r>
          </w:p>
        </w:tc>
        <w:tc>
          <w:tcPr>
            <w:tcW w:w="3485" w:type="dxa"/>
          </w:tcPr>
          <w:p w14:paraId="7755ECB0" w14:textId="2F8ED07A" w:rsidR="00C1003A" w:rsidRPr="0004050C" w:rsidRDefault="00C1003A" w:rsidP="00E46AC4">
            <w:pPr>
              <w:autoSpaceDE w:val="0"/>
              <w:autoSpaceDN w:val="0"/>
              <w:adjustRightInd w:val="0"/>
              <w:jc w:val="center"/>
              <w:outlineLvl w:val="0"/>
              <w:rPr>
                <w:rFonts w:cs="Arial"/>
                <w:szCs w:val="18"/>
              </w:rPr>
            </w:pPr>
            <w:r w:rsidRPr="0004050C">
              <w:rPr>
                <w:rFonts w:cs="Arial"/>
                <w:szCs w:val="18"/>
              </w:rPr>
              <w:t>Néant</w:t>
            </w:r>
          </w:p>
        </w:tc>
        <w:tc>
          <w:tcPr>
            <w:tcW w:w="3486" w:type="dxa"/>
          </w:tcPr>
          <w:p w14:paraId="36661852" w14:textId="77777777" w:rsidR="00C1003A" w:rsidRPr="0004050C" w:rsidRDefault="00C1003A" w:rsidP="00E46AC4">
            <w:pPr>
              <w:autoSpaceDE w:val="0"/>
              <w:autoSpaceDN w:val="0"/>
              <w:adjustRightInd w:val="0"/>
              <w:jc w:val="center"/>
              <w:outlineLvl w:val="0"/>
              <w:rPr>
                <w:rFonts w:cs="Arial"/>
                <w:szCs w:val="18"/>
              </w:rPr>
            </w:pPr>
          </w:p>
        </w:tc>
      </w:tr>
      <w:tr w:rsidR="00C1003A" w:rsidRPr="004829F6" w14:paraId="0EA71E1C" w14:textId="77777777" w:rsidTr="00C1003A">
        <w:tc>
          <w:tcPr>
            <w:tcW w:w="3485" w:type="dxa"/>
          </w:tcPr>
          <w:p w14:paraId="42D8C466" w14:textId="77777777" w:rsidR="00C1003A" w:rsidRPr="0004050C" w:rsidRDefault="00C1003A" w:rsidP="000C5450">
            <w:pPr>
              <w:autoSpaceDE w:val="0"/>
              <w:autoSpaceDN w:val="0"/>
              <w:adjustRightInd w:val="0"/>
              <w:outlineLvl w:val="0"/>
              <w:rPr>
                <w:rFonts w:cs="Arial"/>
                <w:szCs w:val="18"/>
              </w:rPr>
            </w:pPr>
            <w:r w:rsidRPr="0004050C">
              <w:rPr>
                <w:rFonts w:cs="Arial"/>
                <w:szCs w:val="18"/>
              </w:rPr>
              <w:t>OPC</w:t>
            </w:r>
          </w:p>
          <w:p w14:paraId="167A1767" w14:textId="3ABD3E4B" w:rsidR="00C1003A" w:rsidRPr="0004050C" w:rsidRDefault="00C1003A" w:rsidP="00E46AC4">
            <w:pPr>
              <w:autoSpaceDE w:val="0"/>
              <w:autoSpaceDN w:val="0"/>
              <w:adjustRightInd w:val="0"/>
              <w:jc w:val="right"/>
              <w:outlineLvl w:val="0"/>
              <w:rPr>
                <w:rFonts w:cs="Arial"/>
                <w:szCs w:val="18"/>
              </w:rPr>
            </w:pPr>
            <w:r w:rsidRPr="0004050C">
              <w:rPr>
                <w:rFonts w:cs="Arial"/>
                <w:szCs w:val="18"/>
              </w:rPr>
              <w:t>Groupe B</w:t>
            </w:r>
            <w:r w:rsidR="00455E73" w:rsidRPr="0004050C">
              <w:rPr>
                <w:rFonts w:cs="Arial"/>
                <w:szCs w:val="18"/>
              </w:rPr>
              <w:t xml:space="preserve">anques </w:t>
            </w:r>
            <w:r w:rsidRPr="0004050C">
              <w:rPr>
                <w:rFonts w:cs="Arial"/>
                <w:szCs w:val="18"/>
              </w:rPr>
              <w:t>P</w:t>
            </w:r>
            <w:r w:rsidR="00455E73" w:rsidRPr="0004050C">
              <w:rPr>
                <w:rFonts w:cs="Arial"/>
                <w:szCs w:val="18"/>
              </w:rPr>
              <w:t>opulaires</w:t>
            </w:r>
          </w:p>
          <w:p w14:paraId="56BD7E59" w14:textId="62F09BF9" w:rsidR="00C1003A" w:rsidRPr="0004050C" w:rsidRDefault="00C1003A" w:rsidP="00C1003A">
            <w:pPr>
              <w:autoSpaceDE w:val="0"/>
              <w:autoSpaceDN w:val="0"/>
              <w:adjustRightInd w:val="0"/>
              <w:jc w:val="right"/>
              <w:outlineLvl w:val="0"/>
              <w:rPr>
                <w:rFonts w:cs="Arial"/>
                <w:szCs w:val="18"/>
              </w:rPr>
            </w:pPr>
            <w:r w:rsidRPr="0004050C">
              <w:rPr>
                <w:rFonts w:cs="Arial"/>
                <w:szCs w:val="18"/>
              </w:rPr>
              <w:t>Hors Groupe B</w:t>
            </w:r>
            <w:r w:rsidR="00455E73" w:rsidRPr="0004050C">
              <w:rPr>
                <w:rFonts w:cs="Arial"/>
                <w:szCs w:val="18"/>
              </w:rPr>
              <w:t xml:space="preserve">anques </w:t>
            </w:r>
            <w:r w:rsidRPr="0004050C">
              <w:rPr>
                <w:rFonts w:cs="Arial"/>
                <w:szCs w:val="18"/>
              </w:rPr>
              <w:t>P</w:t>
            </w:r>
            <w:r w:rsidR="00455E73" w:rsidRPr="0004050C">
              <w:rPr>
                <w:rFonts w:cs="Arial"/>
                <w:szCs w:val="18"/>
              </w:rPr>
              <w:t>opulaires</w:t>
            </w:r>
          </w:p>
          <w:p w14:paraId="299C20B8" w14:textId="77B4DC21" w:rsidR="00C1003A" w:rsidRPr="0004050C" w:rsidRDefault="00C1003A" w:rsidP="00E46AC4">
            <w:pPr>
              <w:autoSpaceDE w:val="0"/>
              <w:autoSpaceDN w:val="0"/>
              <w:adjustRightInd w:val="0"/>
              <w:jc w:val="right"/>
              <w:outlineLvl w:val="0"/>
              <w:rPr>
                <w:rFonts w:cs="Arial"/>
                <w:szCs w:val="18"/>
              </w:rPr>
            </w:pPr>
            <w:r w:rsidRPr="0004050C">
              <w:rPr>
                <w:rFonts w:cs="Arial"/>
                <w:szCs w:val="18"/>
              </w:rPr>
              <w:t>Droit de sortie</w:t>
            </w:r>
          </w:p>
        </w:tc>
        <w:tc>
          <w:tcPr>
            <w:tcW w:w="3485" w:type="dxa"/>
          </w:tcPr>
          <w:p w14:paraId="7EC62F01" w14:textId="77777777" w:rsidR="00C1003A" w:rsidRPr="0004050C" w:rsidRDefault="00C1003A" w:rsidP="00E46AC4">
            <w:pPr>
              <w:autoSpaceDE w:val="0"/>
              <w:autoSpaceDN w:val="0"/>
              <w:adjustRightInd w:val="0"/>
              <w:jc w:val="center"/>
              <w:outlineLvl w:val="0"/>
              <w:rPr>
                <w:rFonts w:cs="Arial"/>
                <w:szCs w:val="18"/>
              </w:rPr>
            </w:pPr>
          </w:p>
          <w:p w14:paraId="1D6CF420" w14:textId="22960FDB" w:rsidR="00C1003A" w:rsidRPr="0004050C" w:rsidRDefault="00C1003A" w:rsidP="00E46AC4">
            <w:pPr>
              <w:autoSpaceDE w:val="0"/>
              <w:autoSpaceDN w:val="0"/>
              <w:adjustRightInd w:val="0"/>
              <w:jc w:val="center"/>
              <w:outlineLvl w:val="0"/>
              <w:rPr>
                <w:rFonts w:cs="Arial"/>
                <w:szCs w:val="18"/>
              </w:rPr>
            </w:pPr>
            <w:r w:rsidRPr="0004050C">
              <w:rPr>
                <w:rFonts w:cs="Arial"/>
                <w:szCs w:val="18"/>
              </w:rPr>
              <w:t>Gratuit</w:t>
            </w:r>
          </w:p>
          <w:p w14:paraId="5900C1AD" w14:textId="77777777" w:rsidR="00C1003A" w:rsidRPr="0004050C" w:rsidRDefault="00C1003A" w:rsidP="00C1003A">
            <w:pPr>
              <w:autoSpaceDE w:val="0"/>
              <w:autoSpaceDN w:val="0"/>
              <w:adjustRightInd w:val="0"/>
              <w:jc w:val="center"/>
              <w:outlineLvl w:val="0"/>
              <w:rPr>
                <w:rFonts w:cs="Arial"/>
                <w:szCs w:val="18"/>
              </w:rPr>
            </w:pPr>
            <w:r w:rsidRPr="0004050C">
              <w:rPr>
                <w:rFonts w:cs="Arial"/>
                <w:szCs w:val="18"/>
              </w:rPr>
              <w:t>Nous consulter</w:t>
            </w:r>
          </w:p>
          <w:p w14:paraId="659FEDF6" w14:textId="40A63A7F" w:rsidR="00C1003A" w:rsidRPr="0004050C" w:rsidRDefault="00E46AC4" w:rsidP="00E46AC4">
            <w:pPr>
              <w:autoSpaceDE w:val="0"/>
              <w:autoSpaceDN w:val="0"/>
              <w:adjustRightInd w:val="0"/>
              <w:jc w:val="center"/>
              <w:outlineLvl w:val="0"/>
              <w:rPr>
                <w:rFonts w:cs="Arial"/>
                <w:szCs w:val="18"/>
              </w:rPr>
            </w:pPr>
            <w:r w:rsidRPr="0004050C">
              <w:rPr>
                <w:rFonts w:cs="Arial"/>
                <w:szCs w:val="18"/>
              </w:rPr>
              <w:t>Néant</w:t>
            </w:r>
          </w:p>
        </w:tc>
        <w:tc>
          <w:tcPr>
            <w:tcW w:w="3486" w:type="dxa"/>
          </w:tcPr>
          <w:p w14:paraId="4378DC45" w14:textId="77777777" w:rsidR="00C1003A" w:rsidRPr="0004050C" w:rsidRDefault="00C1003A" w:rsidP="00E46AC4">
            <w:pPr>
              <w:autoSpaceDE w:val="0"/>
              <w:autoSpaceDN w:val="0"/>
              <w:adjustRightInd w:val="0"/>
              <w:jc w:val="center"/>
              <w:outlineLvl w:val="0"/>
              <w:rPr>
                <w:rFonts w:cs="Arial"/>
                <w:szCs w:val="18"/>
              </w:rPr>
            </w:pPr>
          </w:p>
        </w:tc>
      </w:tr>
    </w:tbl>
    <w:p w14:paraId="07764F79" w14:textId="60C99E67" w:rsidR="00080D57" w:rsidRPr="0004050C" w:rsidRDefault="00080D57" w:rsidP="000C5450">
      <w:pPr>
        <w:autoSpaceDE w:val="0"/>
        <w:autoSpaceDN w:val="0"/>
        <w:adjustRightInd w:val="0"/>
        <w:outlineLvl w:val="0"/>
        <w:rPr>
          <w:rFonts w:cs="Arial"/>
          <w:szCs w:val="18"/>
        </w:rPr>
      </w:pPr>
    </w:p>
    <w:p w14:paraId="31CEB135" w14:textId="77777777" w:rsidR="003B6BB4" w:rsidRPr="0004050C" w:rsidRDefault="003B6BB4" w:rsidP="000C5450">
      <w:pPr>
        <w:autoSpaceDE w:val="0"/>
        <w:autoSpaceDN w:val="0"/>
        <w:adjustRightInd w:val="0"/>
        <w:outlineLvl w:val="0"/>
        <w:rPr>
          <w:rFonts w:cs="Arial"/>
          <w:szCs w:val="18"/>
        </w:rPr>
      </w:pPr>
    </w:p>
    <w:p w14:paraId="4F229380" w14:textId="1C738A0A" w:rsidR="00D526D6" w:rsidRPr="0004050C" w:rsidRDefault="00D526D6" w:rsidP="000C5450">
      <w:pPr>
        <w:autoSpaceDE w:val="0"/>
        <w:autoSpaceDN w:val="0"/>
        <w:adjustRightInd w:val="0"/>
        <w:outlineLvl w:val="0"/>
        <w:rPr>
          <w:rFonts w:cs="Arial"/>
          <w:szCs w:val="18"/>
        </w:rPr>
      </w:pPr>
    </w:p>
    <w:p w14:paraId="4B19B425" w14:textId="5635CEDA" w:rsidR="000C5450" w:rsidRDefault="000C5450" w:rsidP="000C5450">
      <w:pPr>
        <w:autoSpaceDE w:val="0"/>
        <w:autoSpaceDN w:val="0"/>
        <w:adjustRightInd w:val="0"/>
        <w:outlineLvl w:val="0"/>
        <w:rPr>
          <w:rFonts w:cs="Arial"/>
          <w:szCs w:val="18"/>
        </w:rPr>
      </w:pPr>
      <w:r w:rsidRPr="0004050C">
        <w:rPr>
          <w:rFonts w:cs="Arial"/>
          <w:szCs w:val="18"/>
        </w:rPr>
        <w:t>▪ Frais sur souscription OPC : droits d’entrée OPC Groupe Gratuit (pour les autres – les</w:t>
      </w:r>
      <w:r w:rsidR="00D526D6" w:rsidRPr="0004050C">
        <w:rPr>
          <w:rFonts w:cs="Arial"/>
          <w:szCs w:val="18"/>
        </w:rPr>
        <w:t xml:space="preserve"> </w:t>
      </w:r>
      <w:r w:rsidRPr="0004050C">
        <w:rPr>
          <w:rFonts w:cs="Arial"/>
          <w:szCs w:val="18"/>
        </w:rPr>
        <w:t>informations sont disponibles sur demande)</w:t>
      </w:r>
      <w:r w:rsidR="003B6BB4" w:rsidRPr="0004050C">
        <w:rPr>
          <w:rFonts w:cs="Arial"/>
          <w:szCs w:val="18"/>
        </w:rPr>
        <w:t>. L</w:t>
      </w:r>
      <w:r w:rsidRPr="0004050C">
        <w:rPr>
          <w:rFonts w:cs="Arial"/>
          <w:szCs w:val="18"/>
        </w:rPr>
        <w:t>es notices des OPCVM/FIA sont disponibles sur simple demande</w:t>
      </w:r>
    </w:p>
    <w:p w14:paraId="694D6F1D" w14:textId="6C95F7EE" w:rsidR="00816C9A" w:rsidRDefault="00816C9A" w:rsidP="000C5450">
      <w:pPr>
        <w:autoSpaceDE w:val="0"/>
        <w:autoSpaceDN w:val="0"/>
        <w:adjustRightInd w:val="0"/>
        <w:outlineLvl w:val="0"/>
        <w:rPr>
          <w:rFonts w:cs="Arial"/>
          <w:szCs w:val="18"/>
        </w:rPr>
      </w:pPr>
    </w:p>
    <w:p w14:paraId="5055558E" w14:textId="0CDE9898" w:rsidR="00816C9A" w:rsidRDefault="00816C9A" w:rsidP="000C5450">
      <w:pPr>
        <w:autoSpaceDE w:val="0"/>
        <w:autoSpaceDN w:val="0"/>
        <w:adjustRightInd w:val="0"/>
        <w:outlineLvl w:val="0"/>
        <w:rPr>
          <w:rFonts w:cs="Arial"/>
          <w:szCs w:val="18"/>
        </w:rPr>
      </w:pPr>
      <w:r>
        <w:rPr>
          <w:rFonts w:cs="Arial"/>
          <w:szCs w:val="18"/>
        </w:rPr>
        <w:t>4 – Autres frais et informations complémentaires</w:t>
      </w:r>
    </w:p>
    <w:p w14:paraId="527DDF31" w14:textId="77777777" w:rsidR="00816C9A" w:rsidRDefault="00816C9A" w:rsidP="000C5450">
      <w:pPr>
        <w:autoSpaceDE w:val="0"/>
        <w:autoSpaceDN w:val="0"/>
        <w:adjustRightInd w:val="0"/>
        <w:outlineLvl w:val="0"/>
        <w:rPr>
          <w:rFonts w:cs="Arial"/>
          <w:szCs w:val="18"/>
        </w:rPr>
      </w:pPr>
    </w:p>
    <w:p w14:paraId="44E91EE2" w14:textId="77777777" w:rsidR="00816C9A" w:rsidRPr="00D91474" w:rsidRDefault="00816C9A" w:rsidP="00816C9A">
      <w:pPr>
        <w:autoSpaceDE w:val="0"/>
        <w:autoSpaceDN w:val="0"/>
        <w:adjustRightInd w:val="0"/>
        <w:outlineLvl w:val="0"/>
        <w:rPr>
          <w:rFonts w:cs="Arial"/>
          <w:szCs w:val="18"/>
        </w:rPr>
      </w:pPr>
      <w:r w:rsidRPr="00D91474">
        <w:rPr>
          <w:rFonts w:cs="Arial"/>
          <w:szCs w:val="18"/>
        </w:rPr>
        <w:t>Inducement</w:t>
      </w:r>
      <w:r>
        <w:rPr>
          <w:rFonts w:cs="Arial"/>
          <w:szCs w:val="18"/>
        </w:rPr>
        <w:t>s</w:t>
      </w:r>
      <w:r w:rsidRPr="00D91474">
        <w:rPr>
          <w:rFonts w:cs="Arial"/>
          <w:szCs w:val="18"/>
        </w:rPr>
        <w:t xml:space="preserve"> (avantages et rémunération reçus) : néant</w:t>
      </w:r>
    </w:p>
    <w:p w14:paraId="3E52ACDA" w14:textId="77777777" w:rsidR="00816C9A" w:rsidRPr="00D91474" w:rsidRDefault="00816C9A" w:rsidP="00816C9A">
      <w:pPr>
        <w:autoSpaceDE w:val="0"/>
        <w:autoSpaceDN w:val="0"/>
        <w:adjustRightInd w:val="0"/>
        <w:outlineLvl w:val="0"/>
        <w:rPr>
          <w:rFonts w:cs="Arial"/>
          <w:szCs w:val="18"/>
        </w:rPr>
      </w:pPr>
    </w:p>
    <w:p w14:paraId="04BDFE7E" w14:textId="77777777" w:rsidR="00816C9A" w:rsidRPr="00D91474" w:rsidRDefault="00816C9A" w:rsidP="00816C9A">
      <w:pPr>
        <w:autoSpaceDE w:val="0"/>
        <w:autoSpaceDN w:val="0"/>
        <w:adjustRightInd w:val="0"/>
        <w:outlineLvl w:val="0"/>
        <w:rPr>
          <w:rFonts w:cs="Arial"/>
          <w:szCs w:val="18"/>
        </w:rPr>
      </w:pPr>
      <w:r w:rsidRPr="00D91474">
        <w:rPr>
          <w:rFonts w:cs="Arial"/>
          <w:szCs w:val="18"/>
        </w:rPr>
        <w:t xml:space="preserve">Frais de recherche : </w:t>
      </w:r>
      <w:r>
        <w:rPr>
          <w:rFonts w:cs="Arial"/>
          <w:szCs w:val="18"/>
        </w:rPr>
        <w:t>non répercutés</w:t>
      </w:r>
    </w:p>
    <w:p w14:paraId="59E38033" w14:textId="77777777" w:rsidR="00816C9A" w:rsidRPr="0004050C" w:rsidRDefault="00816C9A" w:rsidP="000C5450">
      <w:pPr>
        <w:autoSpaceDE w:val="0"/>
        <w:autoSpaceDN w:val="0"/>
        <w:adjustRightInd w:val="0"/>
        <w:outlineLvl w:val="0"/>
        <w:rPr>
          <w:rFonts w:cs="Arial"/>
          <w:szCs w:val="18"/>
        </w:rPr>
      </w:pPr>
    </w:p>
    <w:p w14:paraId="2714E7BE" w14:textId="77777777" w:rsidR="00D526D6" w:rsidRPr="0004050C" w:rsidRDefault="00D526D6" w:rsidP="000C5450">
      <w:pPr>
        <w:autoSpaceDE w:val="0"/>
        <w:autoSpaceDN w:val="0"/>
        <w:adjustRightInd w:val="0"/>
        <w:outlineLvl w:val="0"/>
        <w:rPr>
          <w:rFonts w:cs="Arial"/>
          <w:szCs w:val="18"/>
        </w:rPr>
      </w:pPr>
    </w:p>
    <w:p w14:paraId="35ED79B6" w14:textId="18CEA107" w:rsidR="000C5450" w:rsidRPr="0004050C" w:rsidRDefault="000C5450" w:rsidP="000C5450">
      <w:pPr>
        <w:autoSpaceDE w:val="0"/>
        <w:autoSpaceDN w:val="0"/>
        <w:adjustRightInd w:val="0"/>
        <w:outlineLvl w:val="0"/>
        <w:rPr>
          <w:rFonts w:cs="Arial"/>
          <w:szCs w:val="18"/>
        </w:rPr>
      </w:pPr>
      <w:r w:rsidRPr="0004050C">
        <w:rPr>
          <w:rFonts w:cs="Arial"/>
          <w:szCs w:val="18"/>
        </w:rPr>
        <w:t>Le Mandataire ne pourra plus prélever de frais liés au Mandat à la date d’effet de la résiliation du Mandat par l’une ou</w:t>
      </w:r>
      <w:r w:rsidR="00D526D6" w:rsidRPr="0004050C">
        <w:rPr>
          <w:rFonts w:cs="Arial"/>
          <w:szCs w:val="18"/>
        </w:rPr>
        <w:t xml:space="preserve"> </w:t>
      </w:r>
      <w:r w:rsidRPr="0004050C">
        <w:rPr>
          <w:rFonts w:cs="Arial"/>
          <w:szCs w:val="18"/>
        </w:rPr>
        <w:t>l’autre des Parties ou à l’expiration du Mandat pour toute autre cause, sous réserve du traitement des opérations en</w:t>
      </w:r>
      <w:r w:rsidR="00D526D6" w:rsidRPr="0004050C">
        <w:rPr>
          <w:rFonts w:cs="Arial"/>
          <w:szCs w:val="18"/>
        </w:rPr>
        <w:t xml:space="preserve"> </w:t>
      </w:r>
      <w:r w:rsidRPr="0004050C">
        <w:rPr>
          <w:rFonts w:cs="Arial"/>
          <w:szCs w:val="18"/>
        </w:rPr>
        <w:t>cours.</w:t>
      </w:r>
    </w:p>
    <w:p w14:paraId="4A043753" w14:textId="54B5D036" w:rsidR="00E46AC4" w:rsidRPr="0004050C" w:rsidRDefault="00E46AC4" w:rsidP="000C5450">
      <w:pPr>
        <w:autoSpaceDE w:val="0"/>
        <w:autoSpaceDN w:val="0"/>
        <w:adjustRightInd w:val="0"/>
        <w:outlineLvl w:val="0"/>
        <w:rPr>
          <w:rFonts w:cs="Arial"/>
          <w:szCs w:val="18"/>
        </w:rPr>
      </w:pPr>
      <w:r w:rsidRPr="0004050C">
        <w:rPr>
          <w:rFonts w:cs="Arial"/>
          <w:szCs w:val="18"/>
        </w:rPr>
        <w:t>Le Mandataire apportera toute réponse utile aux interrogations du Mandant relatives aux frais ou commissions à la charge de ce dernier.</w:t>
      </w:r>
    </w:p>
    <w:p w14:paraId="0A54BF7E" w14:textId="77777777" w:rsidR="00D526D6" w:rsidRPr="0004050C" w:rsidRDefault="00D526D6" w:rsidP="000C5450">
      <w:pPr>
        <w:autoSpaceDE w:val="0"/>
        <w:autoSpaceDN w:val="0"/>
        <w:adjustRightInd w:val="0"/>
        <w:outlineLvl w:val="0"/>
        <w:rPr>
          <w:rFonts w:cs="Arial"/>
          <w:szCs w:val="18"/>
        </w:rPr>
      </w:pPr>
    </w:p>
    <w:p w14:paraId="017E5AEB" w14:textId="77777777" w:rsidR="000A196B" w:rsidRPr="0004050C" w:rsidRDefault="000A196B" w:rsidP="00EB59CB">
      <w:pPr>
        <w:autoSpaceDE w:val="0"/>
        <w:autoSpaceDN w:val="0"/>
        <w:adjustRightInd w:val="0"/>
        <w:outlineLvl w:val="0"/>
        <w:rPr>
          <w:rFonts w:cs="Arial"/>
          <w:szCs w:val="18"/>
        </w:rPr>
      </w:pPr>
    </w:p>
    <w:p w14:paraId="78A4CA5E" w14:textId="1D4B91A7" w:rsidR="00EB59CB" w:rsidRPr="0004050C" w:rsidRDefault="00EB59CB" w:rsidP="00EB59CB">
      <w:pPr>
        <w:autoSpaceDE w:val="0"/>
        <w:autoSpaceDN w:val="0"/>
        <w:adjustRightInd w:val="0"/>
        <w:outlineLvl w:val="0"/>
        <w:rPr>
          <w:rFonts w:cs="Arial"/>
          <w:b/>
          <w:bCs/>
          <w:szCs w:val="18"/>
        </w:rPr>
      </w:pPr>
      <w:r w:rsidRPr="0004050C">
        <w:rPr>
          <w:rFonts w:cs="Arial"/>
          <w:b/>
          <w:bCs/>
          <w:szCs w:val="18"/>
        </w:rPr>
        <w:t xml:space="preserve">Portefeuille investi en titres 100 000 € EUR </w:t>
      </w:r>
    </w:p>
    <w:p w14:paraId="12294CD5" w14:textId="77777777" w:rsidR="00EB59CB" w:rsidRPr="0004050C" w:rsidRDefault="00EB59CB" w:rsidP="00EB59CB">
      <w:pPr>
        <w:autoSpaceDE w:val="0"/>
        <w:autoSpaceDN w:val="0"/>
        <w:adjustRightInd w:val="0"/>
        <w:outlineLvl w:val="0"/>
        <w:rPr>
          <w:rFonts w:cs="Arial"/>
          <w:szCs w:val="18"/>
        </w:rPr>
      </w:pPr>
    </w:p>
    <w:p w14:paraId="64F4732E" w14:textId="5AF40E10" w:rsidR="00EB59CB" w:rsidRPr="0004050C" w:rsidRDefault="00EB59CB" w:rsidP="00EB59CB">
      <w:pPr>
        <w:autoSpaceDE w:val="0"/>
        <w:autoSpaceDN w:val="0"/>
        <w:adjustRightInd w:val="0"/>
        <w:outlineLvl w:val="0"/>
        <w:rPr>
          <w:rFonts w:cs="Arial"/>
          <w:szCs w:val="18"/>
        </w:rPr>
      </w:pPr>
      <w:r w:rsidRPr="0004050C">
        <w:rPr>
          <w:rFonts w:cs="Arial"/>
          <w:szCs w:val="18"/>
        </w:rPr>
        <w:t>Frais relatifs à la Gestion de portefeuille</w:t>
      </w:r>
      <w:r w:rsidR="0058785E" w:rsidRPr="0004050C">
        <w:rPr>
          <w:rFonts w:cs="Arial"/>
          <w:szCs w:val="18"/>
        </w:rPr>
        <w:t> :</w:t>
      </w:r>
      <w:r w:rsidRPr="0004050C">
        <w:rPr>
          <w:rFonts w:cs="Arial"/>
          <w:szCs w:val="18"/>
        </w:rPr>
        <w:t xml:space="preserve"> </w:t>
      </w:r>
      <w:r w:rsidR="000A196B" w:rsidRPr="0004050C">
        <w:rPr>
          <w:rFonts w:cs="Arial"/>
          <w:szCs w:val="18"/>
        </w:rPr>
        <w:t>0,60% l’an HT soit</w:t>
      </w:r>
      <w:r w:rsidR="0058785E" w:rsidRPr="0004050C">
        <w:rPr>
          <w:rFonts w:cs="Arial"/>
          <w:szCs w:val="18"/>
        </w:rPr>
        <w:t xml:space="preserve"> 600 €</w:t>
      </w:r>
      <w:r w:rsidR="000A196B" w:rsidRPr="0004050C">
        <w:rPr>
          <w:rFonts w:cs="Arial"/>
          <w:szCs w:val="18"/>
        </w:rPr>
        <w:t xml:space="preserve"> </w:t>
      </w:r>
    </w:p>
    <w:p w14:paraId="10F38F72" w14:textId="77F6C062" w:rsidR="00EB59CB" w:rsidRPr="0004050C" w:rsidRDefault="00EB59CB" w:rsidP="00EB59CB">
      <w:pPr>
        <w:autoSpaceDE w:val="0"/>
        <w:autoSpaceDN w:val="0"/>
        <w:adjustRightInd w:val="0"/>
        <w:outlineLvl w:val="0"/>
        <w:rPr>
          <w:rFonts w:cs="Arial"/>
          <w:szCs w:val="18"/>
        </w:rPr>
      </w:pPr>
      <w:r w:rsidRPr="0004050C">
        <w:rPr>
          <w:rFonts w:cs="Arial"/>
          <w:szCs w:val="18"/>
        </w:rPr>
        <w:t>Frais uniques relatifs à la Gestion de portefeuille</w:t>
      </w:r>
      <w:r w:rsidR="0058785E" w:rsidRPr="0004050C">
        <w:rPr>
          <w:rFonts w:cs="Arial"/>
          <w:szCs w:val="18"/>
        </w:rPr>
        <w:t> :</w:t>
      </w:r>
      <w:r w:rsidRPr="0004050C">
        <w:rPr>
          <w:rFonts w:cs="Arial"/>
          <w:szCs w:val="18"/>
        </w:rPr>
        <w:t xml:space="preserve"> </w:t>
      </w:r>
      <w:r w:rsidR="0058785E" w:rsidRPr="0004050C">
        <w:rPr>
          <w:rFonts w:cs="Arial"/>
          <w:szCs w:val="18"/>
        </w:rPr>
        <w:t>néant</w:t>
      </w:r>
    </w:p>
    <w:p w14:paraId="6AD2B2D2" w14:textId="50940277" w:rsidR="00EB59CB" w:rsidRPr="0004050C" w:rsidRDefault="00EB59CB" w:rsidP="00EB59CB">
      <w:pPr>
        <w:autoSpaceDE w:val="0"/>
        <w:autoSpaceDN w:val="0"/>
        <w:adjustRightInd w:val="0"/>
        <w:outlineLvl w:val="0"/>
        <w:rPr>
          <w:rFonts w:cs="Arial"/>
          <w:szCs w:val="18"/>
        </w:rPr>
      </w:pPr>
      <w:r w:rsidRPr="0004050C">
        <w:rPr>
          <w:rFonts w:cs="Arial"/>
          <w:szCs w:val="18"/>
        </w:rPr>
        <w:t xml:space="preserve">Frais récurrents relatifs à la Gestion de portefeuille : honoraires de gestion </w:t>
      </w:r>
      <w:r w:rsidR="0058785E" w:rsidRPr="0004050C">
        <w:rPr>
          <w:rFonts w:cs="Arial"/>
          <w:szCs w:val="18"/>
        </w:rPr>
        <w:t>néant</w:t>
      </w:r>
    </w:p>
    <w:p w14:paraId="30231B26" w14:textId="3FF50509" w:rsidR="00EB59CB" w:rsidRPr="0004050C" w:rsidRDefault="00EB59CB" w:rsidP="00EB59CB">
      <w:pPr>
        <w:autoSpaceDE w:val="0"/>
        <w:autoSpaceDN w:val="0"/>
        <w:adjustRightInd w:val="0"/>
        <w:outlineLvl w:val="0"/>
        <w:rPr>
          <w:rFonts w:cs="Arial"/>
          <w:szCs w:val="18"/>
        </w:rPr>
      </w:pPr>
      <w:r w:rsidRPr="0004050C">
        <w:rPr>
          <w:rFonts w:cs="Arial"/>
          <w:szCs w:val="18"/>
        </w:rPr>
        <w:t>Frais relatifs aux transactions effectuées dans le cadre de la Gestion de portefeuille</w:t>
      </w:r>
      <w:r w:rsidR="00F13CB4">
        <w:rPr>
          <w:rFonts w:cs="Arial"/>
          <w:szCs w:val="18"/>
        </w:rPr>
        <w:t xml:space="preserve"> </w:t>
      </w:r>
      <w:r w:rsidR="00F13CB4" w:rsidRPr="0066300D">
        <w:rPr>
          <w:rFonts w:cs="Arial"/>
          <w:szCs w:val="18"/>
        </w:rPr>
        <w:t>(bourse Euronext)</w:t>
      </w:r>
      <w:r w:rsidR="0058785E" w:rsidRPr="0004050C">
        <w:rPr>
          <w:rFonts w:cs="Arial"/>
          <w:szCs w:val="18"/>
        </w:rPr>
        <w:t> :</w:t>
      </w:r>
      <w:r w:rsidRPr="0004050C">
        <w:rPr>
          <w:rFonts w:cs="Arial"/>
          <w:szCs w:val="18"/>
        </w:rPr>
        <w:t xml:space="preserve"> </w:t>
      </w:r>
      <w:r w:rsidR="0058785E" w:rsidRPr="0004050C">
        <w:rPr>
          <w:rFonts w:cs="Arial"/>
          <w:szCs w:val="18"/>
        </w:rPr>
        <w:t>1,20%</w:t>
      </w:r>
    </w:p>
    <w:p w14:paraId="4DD55A32" w14:textId="2F587251" w:rsidR="00EB59CB" w:rsidRPr="0004050C" w:rsidRDefault="00EB59CB" w:rsidP="00EB59CB">
      <w:pPr>
        <w:autoSpaceDE w:val="0"/>
        <w:autoSpaceDN w:val="0"/>
        <w:adjustRightInd w:val="0"/>
        <w:outlineLvl w:val="0"/>
        <w:rPr>
          <w:rFonts w:cs="Arial"/>
          <w:color w:val="99CC00" w:themeColor="accent2"/>
          <w:szCs w:val="18"/>
        </w:rPr>
      </w:pPr>
      <w:r w:rsidRPr="0004050C">
        <w:rPr>
          <w:rFonts w:cs="Arial"/>
          <w:szCs w:val="18"/>
        </w:rPr>
        <w:t xml:space="preserve">Frais associés aux services auxiliaires : droits de garde </w:t>
      </w:r>
      <w:r w:rsidR="0058785E" w:rsidRPr="0004050C">
        <w:rPr>
          <w:rFonts w:cs="Arial"/>
          <w:szCs w:val="18"/>
        </w:rPr>
        <w:t xml:space="preserve">0,20% </w:t>
      </w:r>
      <w:r w:rsidR="00A31488">
        <w:rPr>
          <w:rFonts w:cs="Arial"/>
          <w:szCs w:val="18"/>
        </w:rPr>
        <w:t xml:space="preserve">HT </w:t>
      </w:r>
      <w:r w:rsidR="0058785E" w:rsidRPr="0004050C">
        <w:rPr>
          <w:rFonts w:cs="Arial"/>
          <w:szCs w:val="18"/>
        </w:rPr>
        <w:t>annuel</w:t>
      </w:r>
    </w:p>
    <w:p w14:paraId="0CF1FE65" w14:textId="2EE409DD" w:rsidR="00EB59CB" w:rsidRPr="0004050C" w:rsidRDefault="00EB59CB" w:rsidP="00EB59CB">
      <w:pPr>
        <w:autoSpaceDE w:val="0"/>
        <w:autoSpaceDN w:val="0"/>
        <w:adjustRightInd w:val="0"/>
        <w:outlineLvl w:val="0"/>
        <w:rPr>
          <w:rFonts w:cs="Arial"/>
          <w:szCs w:val="18"/>
        </w:rPr>
      </w:pPr>
      <w:r w:rsidRPr="0004050C">
        <w:rPr>
          <w:rFonts w:cs="Arial"/>
          <w:szCs w:val="18"/>
        </w:rPr>
        <w:t>Coûts marginaux : commissions de performance</w:t>
      </w:r>
      <w:r w:rsidR="0058785E" w:rsidRPr="0004050C">
        <w:rPr>
          <w:rFonts w:cs="Arial"/>
          <w:szCs w:val="18"/>
        </w:rPr>
        <w:t> : néant</w:t>
      </w:r>
    </w:p>
    <w:p w14:paraId="3AB90E15" w14:textId="3D14A777" w:rsidR="00EB59CB" w:rsidRPr="0004050C" w:rsidRDefault="00EB59CB" w:rsidP="00EB59CB">
      <w:pPr>
        <w:autoSpaceDE w:val="0"/>
        <w:autoSpaceDN w:val="0"/>
        <w:adjustRightInd w:val="0"/>
        <w:outlineLvl w:val="0"/>
        <w:rPr>
          <w:rFonts w:cs="Arial"/>
          <w:szCs w:val="18"/>
        </w:rPr>
      </w:pPr>
      <w:r w:rsidRPr="0004050C">
        <w:rPr>
          <w:rFonts w:cs="Arial"/>
          <w:szCs w:val="18"/>
        </w:rPr>
        <w:t>Paiements reçus de tiers</w:t>
      </w:r>
      <w:r w:rsidR="0058785E" w:rsidRPr="0004050C">
        <w:rPr>
          <w:rFonts w:cs="Arial"/>
          <w:szCs w:val="18"/>
        </w:rPr>
        <w:t> : néant</w:t>
      </w:r>
    </w:p>
    <w:p w14:paraId="7A56A630" w14:textId="12B610C8" w:rsidR="00EB59CB" w:rsidRPr="0004050C" w:rsidRDefault="00EB59CB" w:rsidP="00EB59CB">
      <w:pPr>
        <w:autoSpaceDE w:val="0"/>
        <w:autoSpaceDN w:val="0"/>
        <w:adjustRightInd w:val="0"/>
        <w:outlineLvl w:val="0"/>
        <w:rPr>
          <w:rFonts w:cs="Arial"/>
          <w:szCs w:val="18"/>
        </w:rPr>
      </w:pPr>
      <w:r w:rsidRPr="0004050C">
        <w:rPr>
          <w:rFonts w:cs="Arial"/>
          <w:szCs w:val="18"/>
        </w:rPr>
        <w:t>Coûts et charges annuels totaux estimés</w:t>
      </w:r>
      <w:r w:rsidR="004939A4" w:rsidRPr="0004050C">
        <w:rPr>
          <w:rFonts w:cs="Arial"/>
          <w:szCs w:val="18"/>
        </w:rPr>
        <w:t> : 0,60%</w:t>
      </w:r>
      <w:r w:rsidR="00A31488">
        <w:rPr>
          <w:rFonts w:cs="Arial"/>
          <w:szCs w:val="18"/>
        </w:rPr>
        <w:t xml:space="preserve"> HT</w:t>
      </w:r>
      <w:r w:rsidR="004939A4" w:rsidRPr="0004050C">
        <w:rPr>
          <w:rFonts w:cs="Arial"/>
          <w:szCs w:val="18"/>
        </w:rPr>
        <w:t xml:space="preserve"> + 0,20% HT soit 0,80% soit 800 € (hors frais de transactions)</w:t>
      </w:r>
    </w:p>
    <w:p w14:paraId="69327A51" w14:textId="77777777" w:rsidR="00EB59CB" w:rsidRPr="0004050C" w:rsidRDefault="00EB59CB" w:rsidP="00EB59CB">
      <w:pPr>
        <w:autoSpaceDE w:val="0"/>
        <w:autoSpaceDN w:val="0"/>
        <w:adjustRightInd w:val="0"/>
        <w:outlineLvl w:val="0"/>
        <w:rPr>
          <w:rFonts w:cs="Arial"/>
          <w:szCs w:val="18"/>
        </w:rPr>
      </w:pPr>
      <w:r w:rsidRPr="0004050C">
        <w:rPr>
          <w:rFonts w:cs="Arial"/>
          <w:szCs w:val="18"/>
        </w:rPr>
        <w:t>L’impact global annuel des frais HT sur le rendement annuel, en prenant l’exemple d’un portefeuille de 100 000</w:t>
      </w:r>
    </w:p>
    <w:p w14:paraId="508B716E" w14:textId="3FDEC1B2" w:rsidR="00EB59CB" w:rsidRPr="0004050C" w:rsidRDefault="00EB59CB" w:rsidP="00EB59CB">
      <w:pPr>
        <w:autoSpaceDE w:val="0"/>
        <w:autoSpaceDN w:val="0"/>
        <w:adjustRightInd w:val="0"/>
        <w:outlineLvl w:val="0"/>
        <w:rPr>
          <w:rFonts w:cs="Arial"/>
          <w:szCs w:val="18"/>
        </w:rPr>
      </w:pPr>
      <w:r w:rsidRPr="0004050C">
        <w:rPr>
          <w:rFonts w:cs="Arial"/>
          <w:szCs w:val="18"/>
        </w:rPr>
        <w:t xml:space="preserve">€ investi en </w:t>
      </w:r>
      <w:r w:rsidR="004939A4" w:rsidRPr="0004050C">
        <w:rPr>
          <w:rFonts w:cs="Arial"/>
          <w:szCs w:val="18"/>
        </w:rPr>
        <w:t>titres</w:t>
      </w:r>
      <w:r w:rsidRPr="0004050C">
        <w:rPr>
          <w:rFonts w:cs="Arial"/>
          <w:szCs w:val="18"/>
        </w:rPr>
        <w:t xml:space="preserve">, serait de </w:t>
      </w:r>
      <w:r w:rsidR="00E06CDD" w:rsidRPr="0004050C">
        <w:rPr>
          <w:rFonts w:cs="Arial"/>
          <w:szCs w:val="18"/>
        </w:rPr>
        <w:t>0,</w:t>
      </w:r>
      <w:r w:rsidR="004939A4" w:rsidRPr="0004050C">
        <w:rPr>
          <w:rFonts w:cs="Arial"/>
          <w:szCs w:val="18"/>
        </w:rPr>
        <w:t>60%</w:t>
      </w:r>
      <w:r w:rsidR="00A31488">
        <w:rPr>
          <w:rFonts w:cs="Arial"/>
          <w:szCs w:val="18"/>
        </w:rPr>
        <w:t xml:space="preserve"> HT</w:t>
      </w:r>
      <w:r w:rsidR="004939A4" w:rsidRPr="0004050C">
        <w:rPr>
          <w:rFonts w:cs="Arial"/>
          <w:szCs w:val="18"/>
        </w:rPr>
        <w:t xml:space="preserve"> + 0,20% HT soit 0,80% soit 800 € </w:t>
      </w:r>
      <w:r w:rsidR="00B01BDE" w:rsidRPr="0004050C">
        <w:rPr>
          <w:rFonts w:cs="Arial"/>
          <w:szCs w:val="18"/>
        </w:rPr>
        <w:t xml:space="preserve">HT </w:t>
      </w:r>
      <w:r w:rsidR="004939A4" w:rsidRPr="0004050C">
        <w:rPr>
          <w:rFonts w:cs="Arial"/>
          <w:szCs w:val="18"/>
        </w:rPr>
        <w:t>(hors frais de transactions)</w:t>
      </w:r>
      <w:r w:rsidRPr="0004050C">
        <w:rPr>
          <w:rFonts w:cs="Arial"/>
          <w:szCs w:val="18"/>
        </w:rPr>
        <w:t>, tel que décrit dans le tableau ci-après.</w:t>
      </w:r>
    </w:p>
    <w:p w14:paraId="31AC5360" w14:textId="4247D973" w:rsidR="00C14296" w:rsidRPr="0004050C" w:rsidRDefault="00C14296" w:rsidP="00EB59CB">
      <w:pPr>
        <w:autoSpaceDE w:val="0"/>
        <w:autoSpaceDN w:val="0"/>
        <w:adjustRightInd w:val="0"/>
        <w:outlineLvl w:val="0"/>
        <w:rPr>
          <w:rFonts w:cs="Arial"/>
          <w:szCs w:val="18"/>
        </w:rPr>
      </w:pPr>
    </w:p>
    <w:p w14:paraId="69D537F4" w14:textId="1AB1FD5B" w:rsidR="00C14296" w:rsidRPr="0004050C" w:rsidRDefault="00C14296" w:rsidP="00C14296">
      <w:pPr>
        <w:autoSpaceDE w:val="0"/>
        <w:autoSpaceDN w:val="0"/>
        <w:adjustRightInd w:val="0"/>
        <w:outlineLvl w:val="0"/>
        <w:rPr>
          <w:rFonts w:cs="Arial"/>
          <w:szCs w:val="18"/>
        </w:rPr>
      </w:pPr>
      <w:r w:rsidRPr="0004050C">
        <w:rPr>
          <w:rFonts w:cs="Arial"/>
          <w:szCs w:val="18"/>
        </w:rPr>
        <w:t xml:space="preserve">Avec un taux de TVA de 20% à titre d’exemple, l’impact pour le portefeuille investi en OPC serait de </w:t>
      </w:r>
      <w:r w:rsidR="00C5315F" w:rsidRPr="0004050C">
        <w:rPr>
          <w:rFonts w:cs="Arial"/>
          <w:szCs w:val="18"/>
        </w:rPr>
        <w:t>0,</w:t>
      </w:r>
      <w:r w:rsidRPr="0004050C">
        <w:rPr>
          <w:rFonts w:cs="Arial"/>
          <w:szCs w:val="18"/>
        </w:rPr>
        <w:t>60% + 0,20% HT soit 0,80% HT soit 0,80% x 1,20 = 0,96% TTC soit 960 € TTC (hors frais de transactions)</w:t>
      </w:r>
    </w:p>
    <w:p w14:paraId="596DE05A" w14:textId="77777777" w:rsidR="00C14296" w:rsidRPr="0004050C" w:rsidRDefault="00C14296" w:rsidP="00EB59CB">
      <w:pPr>
        <w:autoSpaceDE w:val="0"/>
        <w:autoSpaceDN w:val="0"/>
        <w:adjustRightInd w:val="0"/>
        <w:outlineLvl w:val="0"/>
        <w:rPr>
          <w:rFonts w:cs="Arial"/>
          <w:szCs w:val="18"/>
        </w:rPr>
      </w:pPr>
    </w:p>
    <w:p w14:paraId="108B7A68" w14:textId="77777777" w:rsidR="00EB59CB" w:rsidRPr="0004050C" w:rsidRDefault="00EB59CB" w:rsidP="00EB59CB">
      <w:pPr>
        <w:autoSpaceDE w:val="0"/>
        <w:autoSpaceDN w:val="0"/>
        <w:adjustRightInd w:val="0"/>
        <w:outlineLvl w:val="0"/>
        <w:rPr>
          <w:rFonts w:cs="Arial"/>
          <w:szCs w:val="18"/>
        </w:rPr>
      </w:pPr>
      <w:r w:rsidRPr="0004050C">
        <w:rPr>
          <w:rFonts w:cs="Arial"/>
          <w:szCs w:val="18"/>
        </w:rPr>
        <w:t>____________________________________________________________________________________________________</w:t>
      </w:r>
    </w:p>
    <w:p w14:paraId="51E39B68" w14:textId="3C7E8D8F" w:rsidR="00EB59CB" w:rsidRPr="0004050C" w:rsidRDefault="00EB59CB" w:rsidP="00EB59CB">
      <w:pPr>
        <w:autoSpaceDE w:val="0"/>
        <w:autoSpaceDN w:val="0"/>
        <w:adjustRightInd w:val="0"/>
        <w:outlineLvl w:val="0"/>
        <w:rPr>
          <w:rFonts w:cs="Arial"/>
          <w:b/>
          <w:bCs/>
          <w:szCs w:val="18"/>
        </w:rPr>
      </w:pPr>
      <w:r w:rsidRPr="0004050C">
        <w:rPr>
          <w:rFonts w:cs="Arial"/>
          <w:b/>
          <w:bCs/>
          <w:szCs w:val="18"/>
        </w:rPr>
        <w:t xml:space="preserve">Portefeuille investi en parts d’OPC 100 000 € </w:t>
      </w:r>
    </w:p>
    <w:p w14:paraId="6D7BB64F" w14:textId="77777777" w:rsidR="00EB59CB" w:rsidRPr="0004050C" w:rsidRDefault="00EB59CB" w:rsidP="00EB59CB">
      <w:pPr>
        <w:autoSpaceDE w:val="0"/>
        <w:autoSpaceDN w:val="0"/>
        <w:adjustRightInd w:val="0"/>
        <w:outlineLvl w:val="0"/>
        <w:rPr>
          <w:rFonts w:cs="Arial"/>
          <w:szCs w:val="18"/>
        </w:rPr>
      </w:pPr>
    </w:p>
    <w:p w14:paraId="23CDC464" w14:textId="635AF0C8" w:rsidR="00EB59CB" w:rsidRPr="0004050C" w:rsidRDefault="00EB59CB" w:rsidP="00EB59CB">
      <w:pPr>
        <w:autoSpaceDE w:val="0"/>
        <w:autoSpaceDN w:val="0"/>
        <w:adjustRightInd w:val="0"/>
        <w:outlineLvl w:val="0"/>
        <w:rPr>
          <w:rFonts w:cs="Arial"/>
          <w:szCs w:val="18"/>
        </w:rPr>
      </w:pPr>
      <w:r w:rsidRPr="0004050C">
        <w:rPr>
          <w:rFonts w:cs="Arial"/>
          <w:szCs w:val="18"/>
        </w:rPr>
        <w:t>Frais relatifs à la Gestion de portefeuille</w:t>
      </w:r>
      <w:r w:rsidR="003D5AB0" w:rsidRPr="0004050C">
        <w:rPr>
          <w:rFonts w:cs="Arial"/>
          <w:szCs w:val="18"/>
        </w:rPr>
        <w:t xml:space="preserve"> : </w:t>
      </w:r>
      <w:r w:rsidR="000A196B" w:rsidRPr="0004050C">
        <w:rPr>
          <w:rFonts w:cs="Arial"/>
          <w:szCs w:val="18"/>
        </w:rPr>
        <w:t xml:space="preserve">0,60% l’an HT soit </w:t>
      </w:r>
      <w:r w:rsidR="003D5AB0" w:rsidRPr="0004050C">
        <w:rPr>
          <w:rFonts w:cs="Arial"/>
          <w:szCs w:val="18"/>
        </w:rPr>
        <w:t>600 €</w:t>
      </w:r>
    </w:p>
    <w:p w14:paraId="27F4017A" w14:textId="760950B8" w:rsidR="00EB59CB" w:rsidRPr="0004050C" w:rsidRDefault="00EB59CB" w:rsidP="00EB59CB">
      <w:pPr>
        <w:autoSpaceDE w:val="0"/>
        <w:autoSpaceDN w:val="0"/>
        <w:adjustRightInd w:val="0"/>
        <w:outlineLvl w:val="0"/>
        <w:rPr>
          <w:rFonts w:cs="Arial"/>
          <w:szCs w:val="18"/>
        </w:rPr>
      </w:pPr>
      <w:r w:rsidRPr="0004050C">
        <w:rPr>
          <w:rFonts w:cs="Arial"/>
          <w:szCs w:val="18"/>
        </w:rPr>
        <w:t>Frais uniques relatifs à la Gestion de portefeuille</w:t>
      </w:r>
      <w:r w:rsidR="003D5AB0" w:rsidRPr="0004050C">
        <w:rPr>
          <w:rFonts w:cs="Arial"/>
          <w:szCs w:val="18"/>
        </w:rPr>
        <w:t> :</w:t>
      </w:r>
      <w:r w:rsidR="000A196B" w:rsidRPr="0004050C">
        <w:rPr>
          <w:rFonts w:cs="Arial"/>
          <w:szCs w:val="18"/>
        </w:rPr>
        <w:t xml:space="preserve"> néant </w:t>
      </w:r>
    </w:p>
    <w:p w14:paraId="56E9744B" w14:textId="1AF91A03" w:rsidR="00EB59CB" w:rsidRPr="0004050C" w:rsidRDefault="00EB59CB" w:rsidP="00EB59CB">
      <w:pPr>
        <w:autoSpaceDE w:val="0"/>
        <w:autoSpaceDN w:val="0"/>
        <w:adjustRightInd w:val="0"/>
        <w:outlineLvl w:val="0"/>
        <w:rPr>
          <w:rFonts w:cs="Arial"/>
          <w:szCs w:val="18"/>
        </w:rPr>
      </w:pPr>
      <w:r w:rsidRPr="0004050C">
        <w:rPr>
          <w:rFonts w:cs="Arial"/>
          <w:szCs w:val="18"/>
        </w:rPr>
        <w:t xml:space="preserve">Frais récurrents relatifs à la Gestion de portefeuille : honoraires de gestion </w:t>
      </w:r>
      <w:r w:rsidR="000A196B" w:rsidRPr="0004050C">
        <w:rPr>
          <w:rFonts w:cs="Arial"/>
          <w:szCs w:val="18"/>
        </w:rPr>
        <w:t>néant </w:t>
      </w:r>
    </w:p>
    <w:p w14:paraId="6DC54630" w14:textId="360AD7A3" w:rsidR="003D5AB0" w:rsidRPr="0004050C" w:rsidRDefault="00EB59CB" w:rsidP="00EB59CB">
      <w:pPr>
        <w:autoSpaceDE w:val="0"/>
        <w:autoSpaceDN w:val="0"/>
        <w:adjustRightInd w:val="0"/>
        <w:outlineLvl w:val="0"/>
        <w:rPr>
          <w:rFonts w:cs="Arial"/>
          <w:szCs w:val="18"/>
        </w:rPr>
      </w:pPr>
      <w:r w:rsidRPr="0004050C">
        <w:rPr>
          <w:rFonts w:cs="Arial"/>
          <w:szCs w:val="18"/>
        </w:rPr>
        <w:t>Frais relatifs aux transactions effectuées dans le cadre de la Gestion de portefeuille</w:t>
      </w:r>
      <w:r w:rsidR="003D5AB0" w:rsidRPr="0004050C">
        <w:rPr>
          <w:rFonts w:cs="Arial"/>
          <w:szCs w:val="18"/>
        </w:rPr>
        <w:t> : droits d’entrée néant si OPC Groupe, nous consulter si OPC externes</w:t>
      </w:r>
    </w:p>
    <w:p w14:paraId="2CBFAEEC" w14:textId="4BCFF12B" w:rsidR="00EB59CB" w:rsidRPr="0004050C" w:rsidRDefault="00EB59CB" w:rsidP="00EB59CB">
      <w:pPr>
        <w:autoSpaceDE w:val="0"/>
        <w:autoSpaceDN w:val="0"/>
        <w:adjustRightInd w:val="0"/>
        <w:outlineLvl w:val="0"/>
        <w:rPr>
          <w:rFonts w:cs="Arial"/>
          <w:szCs w:val="18"/>
        </w:rPr>
      </w:pPr>
      <w:r w:rsidRPr="0004050C">
        <w:rPr>
          <w:rFonts w:cs="Arial"/>
          <w:szCs w:val="18"/>
        </w:rPr>
        <w:t>Frais associés aux services auxiliaires : droits de garde</w:t>
      </w:r>
      <w:r w:rsidR="003D5AB0" w:rsidRPr="0004050C">
        <w:rPr>
          <w:rFonts w:cs="Arial"/>
          <w:szCs w:val="18"/>
        </w:rPr>
        <w:t> </w:t>
      </w:r>
      <w:r w:rsidR="000A196B" w:rsidRPr="0004050C">
        <w:rPr>
          <w:rFonts w:cs="Arial"/>
          <w:szCs w:val="18"/>
        </w:rPr>
        <w:t>0,20%</w:t>
      </w:r>
      <w:r w:rsidR="00A31488">
        <w:rPr>
          <w:rFonts w:cs="Arial"/>
          <w:szCs w:val="18"/>
        </w:rPr>
        <w:t xml:space="preserve"> HT</w:t>
      </w:r>
      <w:r w:rsidR="003D5AB0" w:rsidRPr="0004050C">
        <w:rPr>
          <w:rFonts w:cs="Arial"/>
          <w:szCs w:val="18"/>
        </w:rPr>
        <w:t xml:space="preserve"> annuel</w:t>
      </w:r>
    </w:p>
    <w:p w14:paraId="50A65200" w14:textId="51C3F0F6" w:rsidR="00EB59CB" w:rsidRPr="0004050C" w:rsidRDefault="00EB59CB" w:rsidP="00EB59CB">
      <w:pPr>
        <w:autoSpaceDE w:val="0"/>
        <w:autoSpaceDN w:val="0"/>
        <w:adjustRightInd w:val="0"/>
        <w:outlineLvl w:val="0"/>
        <w:rPr>
          <w:rFonts w:cs="Arial"/>
          <w:szCs w:val="18"/>
        </w:rPr>
      </w:pPr>
      <w:r w:rsidRPr="0004050C">
        <w:rPr>
          <w:rFonts w:cs="Arial"/>
          <w:szCs w:val="18"/>
        </w:rPr>
        <w:t>Coûts marginaux : commissions de performance</w:t>
      </w:r>
      <w:r w:rsidR="003D5AB0" w:rsidRPr="0004050C">
        <w:rPr>
          <w:rFonts w:cs="Arial"/>
          <w:szCs w:val="18"/>
        </w:rPr>
        <w:t> :</w:t>
      </w:r>
      <w:r w:rsidR="000A196B" w:rsidRPr="0004050C">
        <w:rPr>
          <w:rFonts w:cs="Arial"/>
          <w:szCs w:val="18"/>
        </w:rPr>
        <w:t xml:space="preserve"> néant </w:t>
      </w:r>
    </w:p>
    <w:p w14:paraId="17A4A1AB" w14:textId="0788A0AC" w:rsidR="00EB59CB" w:rsidRPr="0004050C" w:rsidRDefault="00EB59CB" w:rsidP="00EB59CB">
      <w:pPr>
        <w:autoSpaceDE w:val="0"/>
        <w:autoSpaceDN w:val="0"/>
        <w:adjustRightInd w:val="0"/>
        <w:outlineLvl w:val="0"/>
        <w:rPr>
          <w:rFonts w:cs="Arial"/>
          <w:szCs w:val="18"/>
        </w:rPr>
      </w:pPr>
      <w:r w:rsidRPr="0004050C">
        <w:rPr>
          <w:rFonts w:cs="Arial"/>
          <w:szCs w:val="18"/>
        </w:rPr>
        <w:t>Paiements reçus de tiers</w:t>
      </w:r>
      <w:r w:rsidR="003D5AB0" w:rsidRPr="0004050C">
        <w:rPr>
          <w:rFonts w:cs="Arial"/>
          <w:szCs w:val="18"/>
        </w:rPr>
        <w:t> : commission placeur communiquée à 1</w:t>
      </w:r>
      <w:r w:rsidR="003D5AB0" w:rsidRPr="0004050C">
        <w:rPr>
          <w:rFonts w:cs="Arial"/>
          <w:szCs w:val="18"/>
          <w:vertAlign w:val="superscript"/>
        </w:rPr>
        <w:t>ère</w:t>
      </w:r>
      <w:r w:rsidR="003D5AB0" w:rsidRPr="0004050C">
        <w:rPr>
          <w:rFonts w:cs="Arial"/>
          <w:szCs w:val="18"/>
        </w:rPr>
        <w:t xml:space="preserve"> demande</w:t>
      </w:r>
    </w:p>
    <w:p w14:paraId="21DAE488" w14:textId="206B7091" w:rsidR="00EB59CB" w:rsidRPr="0004050C" w:rsidRDefault="00EB59CB" w:rsidP="00EB59CB">
      <w:pPr>
        <w:autoSpaceDE w:val="0"/>
        <w:autoSpaceDN w:val="0"/>
        <w:adjustRightInd w:val="0"/>
        <w:outlineLvl w:val="0"/>
        <w:rPr>
          <w:rFonts w:cs="Arial"/>
          <w:szCs w:val="18"/>
        </w:rPr>
      </w:pPr>
      <w:r w:rsidRPr="0004050C">
        <w:rPr>
          <w:rFonts w:cs="Arial"/>
          <w:szCs w:val="18"/>
        </w:rPr>
        <w:t>Coûts indirects liés aux instruments financiers (OPC)</w:t>
      </w:r>
      <w:r w:rsidR="003D5AB0" w:rsidRPr="0004050C">
        <w:rPr>
          <w:rFonts w:cs="Arial"/>
          <w:szCs w:val="18"/>
        </w:rPr>
        <w:t> : voir Documents d’Informations Client de chaque OPC</w:t>
      </w:r>
    </w:p>
    <w:p w14:paraId="2E7E9B38" w14:textId="67FCC958" w:rsidR="00EB59CB" w:rsidRPr="0004050C" w:rsidRDefault="00EB59CB" w:rsidP="00EB59CB">
      <w:pPr>
        <w:autoSpaceDE w:val="0"/>
        <w:autoSpaceDN w:val="0"/>
        <w:adjustRightInd w:val="0"/>
        <w:outlineLvl w:val="0"/>
        <w:rPr>
          <w:rFonts w:cs="Arial"/>
          <w:szCs w:val="18"/>
        </w:rPr>
      </w:pPr>
      <w:r w:rsidRPr="0004050C">
        <w:rPr>
          <w:rFonts w:cs="Arial"/>
          <w:szCs w:val="18"/>
        </w:rPr>
        <w:t>Coûts et charges annuels totaux estimés</w:t>
      </w:r>
      <w:r w:rsidR="004939A4" w:rsidRPr="0004050C">
        <w:rPr>
          <w:rFonts w:cs="Arial"/>
          <w:szCs w:val="18"/>
        </w:rPr>
        <w:t> : 0,60%</w:t>
      </w:r>
      <w:r w:rsidR="00A31488">
        <w:rPr>
          <w:rFonts w:cs="Arial"/>
          <w:szCs w:val="18"/>
        </w:rPr>
        <w:t xml:space="preserve"> HT</w:t>
      </w:r>
      <w:r w:rsidR="004939A4" w:rsidRPr="0004050C">
        <w:rPr>
          <w:rFonts w:cs="Arial"/>
          <w:szCs w:val="18"/>
        </w:rPr>
        <w:t xml:space="preserve"> + 0,20% HT soit 0,80% soit 800 € (hors frais de transactions)</w:t>
      </w:r>
    </w:p>
    <w:p w14:paraId="5B7DBF89" w14:textId="77777777" w:rsidR="004939A4" w:rsidRPr="0004050C" w:rsidRDefault="004939A4" w:rsidP="00EB59CB">
      <w:pPr>
        <w:autoSpaceDE w:val="0"/>
        <w:autoSpaceDN w:val="0"/>
        <w:adjustRightInd w:val="0"/>
        <w:outlineLvl w:val="0"/>
        <w:rPr>
          <w:rFonts w:cs="Arial"/>
          <w:szCs w:val="18"/>
        </w:rPr>
      </w:pPr>
    </w:p>
    <w:p w14:paraId="3E231377" w14:textId="7836246C" w:rsidR="004939A4" w:rsidRPr="0004050C" w:rsidRDefault="00EB59CB" w:rsidP="004939A4">
      <w:pPr>
        <w:autoSpaceDE w:val="0"/>
        <w:autoSpaceDN w:val="0"/>
        <w:adjustRightInd w:val="0"/>
        <w:outlineLvl w:val="0"/>
        <w:rPr>
          <w:rFonts w:cs="Arial"/>
          <w:szCs w:val="18"/>
        </w:rPr>
      </w:pPr>
      <w:r w:rsidRPr="0004050C">
        <w:rPr>
          <w:rFonts w:cs="Arial"/>
          <w:szCs w:val="18"/>
        </w:rPr>
        <w:t xml:space="preserve">Avec un taux de TVA de </w:t>
      </w:r>
      <w:r w:rsidR="003D5AB0" w:rsidRPr="0004050C">
        <w:rPr>
          <w:rFonts w:cs="Arial"/>
          <w:szCs w:val="18"/>
        </w:rPr>
        <w:t xml:space="preserve">20% </w:t>
      </w:r>
      <w:r w:rsidRPr="0004050C">
        <w:rPr>
          <w:rFonts w:cs="Arial"/>
          <w:szCs w:val="18"/>
        </w:rPr>
        <w:t xml:space="preserve">à titre d’exemple, l’impact pour le portefeuille investi en OPC serait de </w:t>
      </w:r>
      <w:r w:rsidR="00C5315F" w:rsidRPr="0004050C">
        <w:rPr>
          <w:rFonts w:cs="Arial"/>
          <w:szCs w:val="18"/>
        </w:rPr>
        <w:t>0,</w:t>
      </w:r>
      <w:r w:rsidR="004939A4" w:rsidRPr="0004050C">
        <w:rPr>
          <w:rFonts w:cs="Arial"/>
          <w:szCs w:val="18"/>
        </w:rPr>
        <w:t>60%</w:t>
      </w:r>
      <w:r w:rsidR="00A31488">
        <w:rPr>
          <w:rFonts w:cs="Arial"/>
          <w:szCs w:val="18"/>
        </w:rPr>
        <w:t xml:space="preserve"> HT</w:t>
      </w:r>
      <w:r w:rsidR="004939A4" w:rsidRPr="0004050C">
        <w:rPr>
          <w:rFonts w:cs="Arial"/>
          <w:szCs w:val="18"/>
        </w:rPr>
        <w:t xml:space="preserve"> + 0,20% HT soit 0,80% HT soit </w:t>
      </w:r>
      <w:r w:rsidR="00B01BDE" w:rsidRPr="0004050C">
        <w:rPr>
          <w:rFonts w:cs="Arial"/>
          <w:szCs w:val="18"/>
        </w:rPr>
        <w:t>0,80% x 1,20 = 0,96% TTC</w:t>
      </w:r>
      <w:r w:rsidR="004939A4" w:rsidRPr="0004050C">
        <w:rPr>
          <w:rFonts w:cs="Arial"/>
          <w:szCs w:val="18"/>
        </w:rPr>
        <w:t xml:space="preserve"> soit </w:t>
      </w:r>
      <w:r w:rsidR="00B01BDE" w:rsidRPr="0004050C">
        <w:rPr>
          <w:rFonts w:cs="Arial"/>
          <w:szCs w:val="18"/>
        </w:rPr>
        <w:t>960</w:t>
      </w:r>
      <w:r w:rsidR="004939A4" w:rsidRPr="0004050C">
        <w:rPr>
          <w:rFonts w:cs="Arial"/>
          <w:szCs w:val="18"/>
        </w:rPr>
        <w:t xml:space="preserve"> € </w:t>
      </w:r>
      <w:r w:rsidR="00B01BDE" w:rsidRPr="0004050C">
        <w:rPr>
          <w:rFonts w:cs="Arial"/>
          <w:szCs w:val="18"/>
        </w:rPr>
        <w:t xml:space="preserve">TTC </w:t>
      </w:r>
      <w:r w:rsidR="004939A4" w:rsidRPr="0004050C">
        <w:rPr>
          <w:rFonts w:cs="Arial"/>
          <w:szCs w:val="18"/>
        </w:rPr>
        <w:t>(hors frais de transactions)</w:t>
      </w:r>
    </w:p>
    <w:p w14:paraId="79D12C85" w14:textId="61068897" w:rsidR="00EB59CB" w:rsidRPr="0004050C" w:rsidRDefault="00EB59CB" w:rsidP="00EB59CB">
      <w:pPr>
        <w:autoSpaceDE w:val="0"/>
        <w:autoSpaceDN w:val="0"/>
        <w:adjustRightInd w:val="0"/>
        <w:outlineLvl w:val="0"/>
        <w:rPr>
          <w:rFonts w:cs="Arial"/>
          <w:szCs w:val="18"/>
        </w:rPr>
      </w:pPr>
    </w:p>
    <w:p w14:paraId="1DDD1F00" w14:textId="77777777" w:rsidR="00EB59CB" w:rsidRPr="0004050C" w:rsidRDefault="00EB59CB" w:rsidP="00EB59CB">
      <w:pPr>
        <w:autoSpaceDE w:val="0"/>
        <w:autoSpaceDN w:val="0"/>
        <w:adjustRightInd w:val="0"/>
        <w:outlineLvl w:val="0"/>
        <w:rPr>
          <w:rFonts w:cs="Arial"/>
          <w:szCs w:val="18"/>
        </w:rPr>
      </w:pPr>
    </w:p>
    <w:p w14:paraId="68A5F2C2" w14:textId="0467D182" w:rsidR="00EB59CB" w:rsidRPr="0004050C" w:rsidRDefault="00EB59CB" w:rsidP="00EB59CB">
      <w:pPr>
        <w:autoSpaceDE w:val="0"/>
        <w:autoSpaceDN w:val="0"/>
        <w:adjustRightInd w:val="0"/>
        <w:outlineLvl w:val="0"/>
        <w:rPr>
          <w:rFonts w:cs="Arial"/>
          <w:szCs w:val="18"/>
        </w:rPr>
      </w:pPr>
      <w:r w:rsidRPr="0004050C">
        <w:rPr>
          <w:rFonts w:cs="Arial"/>
          <w:szCs w:val="18"/>
        </w:rPr>
        <w:t>Les frais relatifs aux transactions ci-dessus peuvent varier selon l’orientation de gestion.</w:t>
      </w:r>
    </w:p>
    <w:p w14:paraId="10C131BD" w14:textId="3DC0F270" w:rsidR="00EB59CB" w:rsidRPr="0004050C" w:rsidRDefault="00EB59CB" w:rsidP="00EB59CB">
      <w:pPr>
        <w:autoSpaceDE w:val="0"/>
        <w:autoSpaceDN w:val="0"/>
        <w:adjustRightInd w:val="0"/>
        <w:outlineLvl w:val="0"/>
        <w:rPr>
          <w:rFonts w:cs="Arial"/>
          <w:szCs w:val="18"/>
        </w:rPr>
      </w:pPr>
    </w:p>
    <w:p w14:paraId="2E218B08" w14:textId="018D66BA" w:rsidR="00E06CDD" w:rsidRPr="0004050C" w:rsidRDefault="00E06CDD" w:rsidP="00EB59CB">
      <w:pPr>
        <w:autoSpaceDE w:val="0"/>
        <w:autoSpaceDN w:val="0"/>
        <w:adjustRightInd w:val="0"/>
        <w:outlineLvl w:val="0"/>
        <w:rPr>
          <w:rFonts w:cs="Arial"/>
          <w:szCs w:val="18"/>
        </w:rPr>
      </w:pPr>
    </w:p>
    <w:p w14:paraId="28AAAE76" w14:textId="3000730B" w:rsidR="00E06CDD" w:rsidRPr="0004050C" w:rsidRDefault="00E06CDD" w:rsidP="00EB59CB">
      <w:pPr>
        <w:autoSpaceDE w:val="0"/>
        <w:autoSpaceDN w:val="0"/>
        <w:adjustRightInd w:val="0"/>
        <w:outlineLvl w:val="0"/>
        <w:rPr>
          <w:rFonts w:cs="Arial"/>
          <w:szCs w:val="18"/>
        </w:rPr>
      </w:pPr>
    </w:p>
    <w:p w14:paraId="1C4A2831" w14:textId="4690CCB4" w:rsidR="00E06CDD" w:rsidRPr="0004050C" w:rsidRDefault="00E06CDD" w:rsidP="00EB59CB">
      <w:pPr>
        <w:autoSpaceDE w:val="0"/>
        <w:autoSpaceDN w:val="0"/>
        <w:adjustRightInd w:val="0"/>
        <w:outlineLvl w:val="0"/>
        <w:rPr>
          <w:rFonts w:cs="Arial"/>
          <w:szCs w:val="18"/>
        </w:rPr>
      </w:pPr>
    </w:p>
    <w:p w14:paraId="3C09F500" w14:textId="6E1020E6" w:rsidR="006B4586" w:rsidRPr="0004050C" w:rsidRDefault="006B4586" w:rsidP="00EB59CB">
      <w:pPr>
        <w:autoSpaceDE w:val="0"/>
        <w:autoSpaceDN w:val="0"/>
        <w:adjustRightInd w:val="0"/>
        <w:outlineLvl w:val="0"/>
        <w:rPr>
          <w:rFonts w:cs="Arial"/>
          <w:szCs w:val="18"/>
        </w:rPr>
      </w:pPr>
    </w:p>
    <w:p w14:paraId="7BCB0552" w14:textId="4358D65F" w:rsidR="006B4586" w:rsidRPr="0004050C" w:rsidRDefault="006B4586" w:rsidP="00EB59CB">
      <w:pPr>
        <w:autoSpaceDE w:val="0"/>
        <w:autoSpaceDN w:val="0"/>
        <w:adjustRightInd w:val="0"/>
        <w:outlineLvl w:val="0"/>
        <w:rPr>
          <w:rFonts w:cs="Arial"/>
          <w:szCs w:val="18"/>
        </w:rPr>
      </w:pPr>
    </w:p>
    <w:p w14:paraId="4224E01D" w14:textId="44A32F49" w:rsidR="006B4586" w:rsidRPr="0004050C" w:rsidRDefault="006B4586" w:rsidP="00EB59CB">
      <w:pPr>
        <w:autoSpaceDE w:val="0"/>
        <w:autoSpaceDN w:val="0"/>
        <w:adjustRightInd w:val="0"/>
        <w:outlineLvl w:val="0"/>
        <w:rPr>
          <w:rFonts w:cs="Arial"/>
          <w:szCs w:val="18"/>
        </w:rPr>
      </w:pPr>
    </w:p>
    <w:p w14:paraId="4359DB43" w14:textId="0457AD4A" w:rsidR="006B4586" w:rsidRPr="0004050C" w:rsidRDefault="006B4586" w:rsidP="00EB59CB">
      <w:pPr>
        <w:autoSpaceDE w:val="0"/>
        <w:autoSpaceDN w:val="0"/>
        <w:adjustRightInd w:val="0"/>
        <w:outlineLvl w:val="0"/>
        <w:rPr>
          <w:rFonts w:cs="Arial"/>
          <w:szCs w:val="18"/>
        </w:rPr>
      </w:pPr>
    </w:p>
    <w:p w14:paraId="329FAD66" w14:textId="77777777" w:rsidR="006B4586" w:rsidRPr="0004050C" w:rsidRDefault="006B4586" w:rsidP="00EB59CB">
      <w:pPr>
        <w:autoSpaceDE w:val="0"/>
        <w:autoSpaceDN w:val="0"/>
        <w:adjustRightInd w:val="0"/>
        <w:outlineLvl w:val="0"/>
        <w:rPr>
          <w:rFonts w:cs="Arial"/>
          <w:szCs w:val="18"/>
        </w:rPr>
      </w:pPr>
    </w:p>
    <w:p w14:paraId="2097AD79" w14:textId="7920ED07" w:rsidR="00E06CDD" w:rsidRPr="0004050C" w:rsidRDefault="00E06CDD" w:rsidP="00EB59CB">
      <w:pPr>
        <w:autoSpaceDE w:val="0"/>
        <w:autoSpaceDN w:val="0"/>
        <w:adjustRightInd w:val="0"/>
        <w:outlineLvl w:val="0"/>
        <w:rPr>
          <w:rFonts w:cs="Arial"/>
          <w:szCs w:val="18"/>
        </w:rPr>
      </w:pPr>
    </w:p>
    <w:p w14:paraId="2D187A0F" w14:textId="21A4EA06" w:rsidR="000978DD" w:rsidRPr="004829F6" w:rsidRDefault="000978DD" w:rsidP="006B4586">
      <w:pPr>
        <w:spacing w:after="0"/>
        <w:jc w:val="center"/>
        <w:rPr>
          <w:b/>
          <w:bCs/>
          <w:sz w:val="28"/>
          <w:szCs w:val="28"/>
        </w:rPr>
      </w:pPr>
      <w:r w:rsidRPr="004829F6">
        <w:rPr>
          <w:b/>
          <w:bCs/>
          <w:sz w:val="28"/>
          <w:szCs w:val="28"/>
        </w:rPr>
        <w:lastRenderedPageBreak/>
        <w:t xml:space="preserve">ANNEXE </w:t>
      </w:r>
      <w:r w:rsidR="004872CF" w:rsidRPr="004829F6">
        <w:rPr>
          <w:b/>
          <w:bCs/>
          <w:sz w:val="28"/>
          <w:szCs w:val="28"/>
        </w:rPr>
        <w:t xml:space="preserve">II </w:t>
      </w:r>
      <w:r w:rsidRPr="004829F6">
        <w:rPr>
          <w:b/>
          <w:bCs/>
          <w:sz w:val="28"/>
          <w:szCs w:val="28"/>
        </w:rPr>
        <w:t>– BORDEREAU DE RETRACTATION</w:t>
      </w:r>
    </w:p>
    <w:p w14:paraId="1F0F4AFF" w14:textId="18728F11" w:rsidR="000978DD" w:rsidRPr="004829F6" w:rsidRDefault="000978DD" w:rsidP="000978DD">
      <w:pPr>
        <w:pStyle w:val="NormalHuge"/>
      </w:pPr>
      <w:r w:rsidRPr="004829F6">
        <w:t>(Formulaire relatif au délai de rétraction prévu par l'article L. 341</w:t>
      </w:r>
      <w:r w:rsidR="00C009AB" w:rsidRPr="004829F6">
        <w:t>-</w:t>
      </w:r>
      <w:r w:rsidRPr="004829F6">
        <w:t xml:space="preserve">16 du Code Monétaire et Financier et par l'article L. </w:t>
      </w:r>
      <w:r w:rsidR="00234A3A" w:rsidRPr="004829F6">
        <w:t>22</w:t>
      </w:r>
      <w:r w:rsidR="00643F03" w:rsidRPr="004829F6">
        <w:t>1</w:t>
      </w:r>
      <w:r w:rsidR="00234A3A" w:rsidRPr="004829F6">
        <w:t>-</w:t>
      </w:r>
      <w:r w:rsidR="00643F03" w:rsidRPr="004829F6">
        <w:t>18</w:t>
      </w:r>
      <w:r w:rsidR="00234A3A" w:rsidRPr="004829F6">
        <w:t xml:space="preserve"> </w:t>
      </w:r>
      <w:r w:rsidRPr="004829F6">
        <w:t>du Code de la Consommation)</w:t>
      </w:r>
    </w:p>
    <w:p w14:paraId="28BCDF4C" w14:textId="58A29796" w:rsidR="000978DD" w:rsidRPr="004829F6" w:rsidRDefault="000978DD" w:rsidP="000978DD">
      <w:pPr>
        <w:pStyle w:val="NormalHuge"/>
      </w:pPr>
      <w:r w:rsidRPr="004829F6">
        <w:t>Comme indiqué à l’article 2</w:t>
      </w:r>
      <w:r w:rsidR="00604DAB" w:rsidRPr="004829F6">
        <w:t>1</w:t>
      </w:r>
      <w:r w:rsidRPr="004829F6">
        <w:t xml:space="preserve"> </w:t>
      </w:r>
      <w:r w:rsidR="00FF746F" w:rsidRPr="004829F6">
        <w:t>« </w:t>
      </w:r>
      <w:r w:rsidRPr="004829F6">
        <w:t>Droit de rétractation</w:t>
      </w:r>
      <w:r w:rsidR="00FF746F" w:rsidRPr="004829F6">
        <w:t> »</w:t>
      </w:r>
      <w:r w:rsidRPr="004829F6">
        <w:t xml:space="preserve"> de la Convention, la rétractation n'est valable que si le formulaire, lisiblement et parfaitement rempli, est renvoyé au plus tard 14 jours à compter de la signature du contrat, par lettre recommandée avec accusé de réception, à : </w:t>
      </w:r>
      <w:r w:rsidR="004B5253" w:rsidRPr="004829F6">
        <w:t>______________________________</w:t>
      </w:r>
      <w:r w:rsidR="00231789" w:rsidRPr="004829F6">
        <w:t>______________________________</w:t>
      </w:r>
    </w:p>
    <w:p w14:paraId="70CF2519" w14:textId="2EAF51E1" w:rsidR="000978DD" w:rsidRPr="004829F6" w:rsidRDefault="00643F03" w:rsidP="000978DD">
      <w:pPr>
        <w:pStyle w:val="NormalHuge"/>
      </w:pPr>
      <w:r w:rsidRPr="004829F6">
        <w:t>(</w:t>
      </w:r>
      <w:r w:rsidR="000978DD" w:rsidRPr="004829F6">
        <w:t>Coordonnées de la BANQUE)</w:t>
      </w:r>
    </w:p>
    <w:p w14:paraId="55CF1CA7" w14:textId="77777777" w:rsidR="000978DD" w:rsidRPr="004829F6" w:rsidRDefault="000978DD" w:rsidP="000978DD">
      <w:pPr>
        <w:pStyle w:val="NormalHuge"/>
      </w:pPr>
      <w:r w:rsidRPr="004829F6">
        <w:t>Je soussigné</w:t>
      </w:r>
      <w:r w:rsidR="00334503" w:rsidRPr="004829F6">
        <w:t xml:space="preserve"> / Nous soussignés</w:t>
      </w:r>
      <w:r w:rsidRPr="004829F6">
        <w:t xml:space="preserve"> </w:t>
      </w:r>
      <w:r w:rsidR="004B5253" w:rsidRPr="004829F6">
        <w:t>______________________________</w:t>
      </w:r>
      <w:r w:rsidR="00231789" w:rsidRPr="004829F6">
        <w:t>______________________________</w:t>
      </w:r>
    </w:p>
    <w:p w14:paraId="058B1427" w14:textId="77777777" w:rsidR="00334503" w:rsidRPr="004829F6" w:rsidRDefault="00334503" w:rsidP="00334503">
      <w:pPr>
        <w:pStyle w:val="NormalHuge"/>
        <w:rPr>
          <w:b/>
        </w:rPr>
      </w:pPr>
      <w:r w:rsidRPr="004829F6">
        <w:rPr>
          <w:b/>
        </w:rPr>
        <w:t>Personne(s) physique(s) :</w:t>
      </w:r>
    </w:p>
    <w:p w14:paraId="4390DBB5" w14:textId="77777777" w:rsidR="00334503" w:rsidRPr="004829F6" w:rsidRDefault="00334503" w:rsidP="00334503">
      <w:pPr>
        <w:pStyle w:val="NormalHuge"/>
      </w:pPr>
      <w:r w:rsidRPr="004829F6">
        <w:tab/>
        <w:t>(Prénom)</w:t>
      </w:r>
      <w:r w:rsidRPr="004829F6">
        <w:tab/>
        <w:t>(Nom)</w:t>
      </w:r>
    </w:p>
    <w:p w14:paraId="274989CB" w14:textId="77777777" w:rsidR="00B803CE" w:rsidRPr="004829F6" w:rsidRDefault="00334503" w:rsidP="00334503">
      <w:pPr>
        <w:pStyle w:val="NormalHuge"/>
      </w:pPr>
      <w:r w:rsidRPr="004829F6">
        <w:t>demeurant</w:t>
      </w:r>
      <w:r w:rsidRPr="004829F6">
        <w:tab/>
        <w:t>(Adresse)</w:t>
      </w:r>
      <w:r w:rsidR="00B803CE" w:rsidRPr="004829F6">
        <w:t xml:space="preserve">  </w:t>
      </w:r>
    </w:p>
    <w:p w14:paraId="4B37FED2" w14:textId="77777777" w:rsidR="00334503" w:rsidRPr="004829F6" w:rsidRDefault="00B803CE" w:rsidP="00334503">
      <w:pPr>
        <w:pStyle w:val="NormalHuge"/>
      </w:pPr>
      <w:r w:rsidRPr="004829F6">
        <w:t xml:space="preserve">Code postal ____________ Ville ____________________________________________________________        </w:t>
      </w:r>
      <w:r w:rsidR="00334503" w:rsidRPr="004829F6">
        <w:t xml:space="preserve"> </w:t>
      </w:r>
    </w:p>
    <w:p w14:paraId="3E37A278" w14:textId="77777777" w:rsidR="00B803CE" w:rsidRPr="004829F6" w:rsidRDefault="00B803CE" w:rsidP="00334503">
      <w:pPr>
        <w:pStyle w:val="NormalHuge"/>
      </w:pPr>
    </w:p>
    <w:p w14:paraId="7760A9CF" w14:textId="77777777" w:rsidR="00334503" w:rsidRPr="004829F6" w:rsidRDefault="00334503" w:rsidP="00334503">
      <w:pPr>
        <w:pStyle w:val="NormalHuge"/>
        <w:rPr>
          <w:b/>
        </w:rPr>
      </w:pPr>
      <w:r w:rsidRPr="004829F6">
        <w:rPr>
          <w:b/>
        </w:rPr>
        <w:t>Personne morale :</w:t>
      </w:r>
    </w:p>
    <w:p w14:paraId="525F70B2" w14:textId="77777777" w:rsidR="00334503" w:rsidRPr="004829F6" w:rsidRDefault="00334503" w:rsidP="00334503">
      <w:pPr>
        <w:pStyle w:val="NormalHuge"/>
      </w:pPr>
      <w:r w:rsidRPr="004829F6">
        <w:tab/>
        <w:t xml:space="preserve">(Dénomination sociale), </w:t>
      </w:r>
      <w:r w:rsidRPr="004829F6">
        <w:tab/>
        <w:t xml:space="preserve"> (Forme)</w:t>
      </w:r>
    </w:p>
    <w:p w14:paraId="3273384D" w14:textId="77777777" w:rsidR="00334503" w:rsidRPr="004829F6" w:rsidRDefault="00334503" w:rsidP="00334503">
      <w:pPr>
        <w:pStyle w:val="NormalHuge"/>
      </w:pPr>
      <w:r w:rsidRPr="004829F6">
        <w:t>au capital de</w:t>
      </w:r>
      <w:r w:rsidRPr="004829F6">
        <w:tab/>
        <w:t>(Capital) €,</w:t>
      </w:r>
    </w:p>
    <w:p w14:paraId="0943C16F" w14:textId="77777777" w:rsidR="00334503" w:rsidRPr="004829F6" w:rsidRDefault="00334503" w:rsidP="00334503">
      <w:pPr>
        <w:pStyle w:val="NormalHuge"/>
      </w:pPr>
      <w:r w:rsidRPr="004829F6">
        <w:t>dont le siège social est situé</w:t>
      </w:r>
      <w:r w:rsidRPr="004829F6">
        <w:tab/>
        <w:t xml:space="preserve"> (Siège social),</w:t>
      </w:r>
    </w:p>
    <w:p w14:paraId="0760828A" w14:textId="77777777" w:rsidR="00B803CE" w:rsidRPr="004829F6" w:rsidRDefault="00B803CE" w:rsidP="00334503">
      <w:pPr>
        <w:pStyle w:val="NormalHuge"/>
      </w:pPr>
      <w:r w:rsidRPr="004829F6">
        <w:t>Code postal ____________ Ville ____________________________________________________________</w:t>
      </w:r>
    </w:p>
    <w:p w14:paraId="1C7C98FD" w14:textId="77777777" w:rsidR="00334503" w:rsidRPr="004829F6" w:rsidRDefault="00334503" w:rsidP="00334503">
      <w:pPr>
        <w:pStyle w:val="NormalHuge"/>
      </w:pPr>
      <w:r w:rsidRPr="004829F6">
        <w:t>immatriculée au Registre du commerce et des sociétés sous le n°</w:t>
      </w:r>
      <w:r w:rsidRPr="004829F6">
        <w:tab/>
        <w:t>(Numéro SIREN),</w:t>
      </w:r>
    </w:p>
    <w:p w14:paraId="7305E5DE" w14:textId="77777777" w:rsidR="00334503" w:rsidRPr="004829F6" w:rsidRDefault="00334503" w:rsidP="00334503">
      <w:pPr>
        <w:pStyle w:val="NormalHuge"/>
      </w:pPr>
      <w:r w:rsidRPr="004829F6">
        <w:t>représentée par</w:t>
      </w:r>
      <w:r w:rsidRPr="004829F6">
        <w:tab/>
      </w:r>
      <w:r w:rsidR="00B803CE" w:rsidRPr="004829F6">
        <w:t xml:space="preserve"> </w:t>
      </w:r>
      <w:r w:rsidRPr="004829F6">
        <w:t>(Prénom)</w:t>
      </w:r>
      <w:r w:rsidRPr="004829F6">
        <w:tab/>
        <w:t>(Nom),</w:t>
      </w:r>
    </w:p>
    <w:p w14:paraId="5C532EB3" w14:textId="1DDBD481" w:rsidR="00334503" w:rsidRPr="004829F6" w:rsidRDefault="00334503" w:rsidP="00334503">
      <w:pPr>
        <w:pStyle w:val="NormalHuge"/>
      </w:pPr>
      <w:r w:rsidRPr="004829F6">
        <w:t>en sa qualité de</w:t>
      </w:r>
      <w:r w:rsidRPr="004829F6">
        <w:tab/>
        <w:t>(Qualité), Déclare/ Déclarons renoncer au mandat</w:t>
      </w:r>
      <w:r w:rsidR="00926646" w:rsidRPr="004829F6">
        <w:t xml:space="preserve"> </w:t>
      </w:r>
      <w:r w:rsidRPr="004829F6">
        <w:t>de gestion, conclu le</w:t>
      </w:r>
      <w:r w:rsidRPr="004829F6">
        <w:tab/>
        <w:t xml:space="preserve"> (date </w:t>
      </w:r>
      <w:r w:rsidR="00B803CE" w:rsidRPr="004829F6">
        <w:t>du contrat) avec le Mandataire.</w:t>
      </w:r>
    </w:p>
    <w:p w14:paraId="7E336AE1" w14:textId="77777777" w:rsidR="00B803CE" w:rsidRPr="004829F6" w:rsidRDefault="00B803CE" w:rsidP="00334503">
      <w:pPr>
        <w:pStyle w:val="NormalHuge"/>
      </w:pPr>
    </w:p>
    <w:p w14:paraId="1598427C" w14:textId="77777777" w:rsidR="000978DD" w:rsidRPr="004829F6" w:rsidRDefault="00B803CE" w:rsidP="000978DD">
      <w:pPr>
        <w:pStyle w:val="NormalHuge"/>
      </w:pPr>
      <w:r w:rsidRPr="004829F6">
        <w:t>Déclare</w:t>
      </w:r>
      <w:r w:rsidR="000978DD" w:rsidRPr="004829F6">
        <w:t xml:space="preserve"> renoncer mandat de gestion de compte d'instruments financiers que j'avais conclu le </w:t>
      </w:r>
      <w:r w:rsidR="004B5253" w:rsidRPr="004829F6">
        <w:t>___</w:t>
      </w:r>
      <w:r w:rsidR="00231789" w:rsidRPr="004829F6">
        <w:t>_</w:t>
      </w:r>
      <w:r w:rsidR="004B5253" w:rsidRPr="004829F6">
        <w:t>/___</w:t>
      </w:r>
      <w:r w:rsidR="00231789" w:rsidRPr="004829F6">
        <w:t>_</w:t>
      </w:r>
      <w:r w:rsidR="004B5253" w:rsidRPr="004829F6">
        <w:t>/____</w:t>
      </w:r>
      <w:r w:rsidR="00231789" w:rsidRPr="004829F6">
        <w:t>__</w:t>
      </w:r>
      <w:r w:rsidR="000978DD" w:rsidRPr="004829F6">
        <w:t xml:space="preserve"> (*) avec la BANQUE.</w:t>
      </w:r>
    </w:p>
    <w:p w14:paraId="0D3B558F" w14:textId="77777777" w:rsidR="000978DD" w:rsidRPr="004829F6" w:rsidRDefault="000978DD" w:rsidP="000978DD">
      <w:pPr>
        <w:pStyle w:val="NormalHuge"/>
      </w:pPr>
      <w:r w:rsidRPr="004829F6">
        <w:t>Si des instruments financiers ont, entretemps, été acquis sur mon compte, je donne instruction à la BANQUE de :</w:t>
      </w:r>
    </w:p>
    <w:p w14:paraId="384DFF81" w14:textId="77777777" w:rsidR="000978DD" w:rsidRPr="004829F6" w:rsidRDefault="000978DD" w:rsidP="000978DD">
      <w:pPr>
        <w:pStyle w:val="Puce"/>
      </w:pPr>
      <w:r w:rsidRPr="004829F6">
        <w:t>procéder à leur cession :</w:t>
      </w:r>
    </w:p>
    <w:p w14:paraId="234FC651" w14:textId="77777777" w:rsidR="000978DD" w:rsidRPr="004829F6" w:rsidRDefault="005525F2" w:rsidP="000978DD">
      <w:pPr>
        <w:pStyle w:val="NormalHuge"/>
      </w:pPr>
      <w:sdt>
        <w:sdtPr>
          <w:id w:val="336593926"/>
          <w14:checkbox>
            <w14:checked w14:val="0"/>
            <w14:checkedState w14:val="2612" w14:font="MS Gothic"/>
            <w14:uncheckedState w14:val="2610" w14:font="MS Gothic"/>
          </w14:checkbox>
        </w:sdtPr>
        <w:sdtEndPr/>
        <w:sdtContent>
          <w:r w:rsidR="00AF5D37" w:rsidRPr="004829F6">
            <w:rPr>
              <w:rFonts w:ascii="Segoe UI Symbol" w:eastAsia="MS Gothic" w:hAnsi="Segoe UI Symbol" w:cs="Segoe UI Symbol"/>
            </w:rPr>
            <w:t>☐</w:t>
          </w:r>
        </w:sdtContent>
      </w:sdt>
      <w:r w:rsidR="000978DD" w:rsidRPr="004829F6">
        <w:t>Oui</w:t>
      </w:r>
    </w:p>
    <w:p w14:paraId="4677CBB8" w14:textId="77777777" w:rsidR="000978DD" w:rsidRPr="004829F6" w:rsidRDefault="005525F2" w:rsidP="000978DD">
      <w:pPr>
        <w:pStyle w:val="NormalHuge"/>
      </w:pPr>
      <w:sdt>
        <w:sdtPr>
          <w:id w:val="-910778272"/>
          <w14:checkbox>
            <w14:checked w14:val="0"/>
            <w14:checkedState w14:val="2612" w14:font="MS Gothic"/>
            <w14:uncheckedState w14:val="2610" w14:font="MS Gothic"/>
          </w14:checkbox>
        </w:sdtPr>
        <w:sdtEndPr/>
        <w:sdtContent>
          <w:r w:rsidR="000978DD" w:rsidRPr="004829F6">
            <w:rPr>
              <w:rFonts w:ascii="Segoe UI Symbol" w:eastAsia="MS Gothic" w:hAnsi="Segoe UI Symbol" w:cs="Segoe UI Symbol"/>
            </w:rPr>
            <w:t>☐</w:t>
          </w:r>
        </w:sdtContent>
      </w:sdt>
      <w:r w:rsidR="000978DD" w:rsidRPr="004829F6">
        <w:t>Non</w:t>
      </w:r>
    </w:p>
    <w:p w14:paraId="7CCF37D1" w14:textId="77777777" w:rsidR="000978DD" w:rsidRPr="004829F6" w:rsidRDefault="000978DD" w:rsidP="000978DD">
      <w:pPr>
        <w:pStyle w:val="Puce"/>
      </w:pPr>
      <w:r w:rsidRPr="004829F6">
        <w:t>les transférer sur mon Compte d'Instruments Financiers dont je joins le RIB/IBAN :</w:t>
      </w:r>
    </w:p>
    <w:p w14:paraId="349D554C" w14:textId="77777777" w:rsidR="000978DD" w:rsidRPr="004829F6" w:rsidRDefault="005525F2" w:rsidP="000978DD">
      <w:pPr>
        <w:pStyle w:val="NormalHuge"/>
      </w:pPr>
      <w:sdt>
        <w:sdtPr>
          <w:id w:val="2096667840"/>
          <w14:checkbox>
            <w14:checked w14:val="0"/>
            <w14:checkedState w14:val="2612" w14:font="MS Gothic"/>
            <w14:uncheckedState w14:val="2610" w14:font="MS Gothic"/>
          </w14:checkbox>
        </w:sdtPr>
        <w:sdtEndPr/>
        <w:sdtContent>
          <w:r w:rsidR="000978DD" w:rsidRPr="004829F6">
            <w:rPr>
              <w:rFonts w:ascii="Segoe UI Symbol" w:eastAsia="MS Gothic" w:hAnsi="Segoe UI Symbol" w:cs="Segoe UI Symbol"/>
            </w:rPr>
            <w:t>☐</w:t>
          </w:r>
        </w:sdtContent>
      </w:sdt>
      <w:r w:rsidR="000978DD" w:rsidRPr="004829F6">
        <w:t>Oui</w:t>
      </w:r>
    </w:p>
    <w:p w14:paraId="12DE0E91" w14:textId="77777777" w:rsidR="000978DD" w:rsidRPr="004829F6" w:rsidRDefault="005525F2" w:rsidP="000978DD">
      <w:pPr>
        <w:pStyle w:val="NormalHuge"/>
      </w:pPr>
      <w:sdt>
        <w:sdtPr>
          <w:id w:val="-856729091"/>
          <w14:checkbox>
            <w14:checked w14:val="0"/>
            <w14:checkedState w14:val="2612" w14:font="MS Gothic"/>
            <w14:uncheckedState w14:val="2610" w14:font="MS Gothic"/>
          </w14:checkbox>
        </w:sdtPr>
        <w:sdtEndPr/>
        <w:sdtContent>
          <w:r w:rsidR="000978DD" w:rsidRPr="004829F6">
            <w:rPr>
              <w:rFonts w:ascii="Segoe UI Symbol" w:eastAsia="MS Gothic" w:hAnsi="Segoe UI Symbol" w:cs="Segoe UI Symbol"/>
            </w:rPr>
            <w:t>☐</w:t>
          </w:r>
        </w:sdtContent>
      </w:sdt>
      <w:r w:rsidR="000978DD" w:rsidRPr="004829F6">
        <w:t>Non</w:t>
      </w:r>
    </w:p>
    <w:p w14:paraId="6BE18EDD" w14:textId="77777777" w:rsidR="000978DD" w:rsidRPr="004829F6" w:rsidRDefault="000978DD" w:rsidP="000978DD">
      <w:pPr>
        <w:pStyle w:val="NormalHuge"/>
      </w:pPr>
    </w:p>
    <w:p w14:paraId="4732AB59" w14:textId="77777777" w:rsidR="000978DD" w:rsidRPr="004829F6" w:rsidRDefault="000978DD" w:rsidP="000978DD">
      <w:pPr>
        <w:pStyle w:val="NormalHuge"/>
      </w:pPr>
      <w:r w:rsidRPr="004829F6">
        <w:t xml:space="preserve">Fait à </w:t>
      </w:r>
      <w:r w:rsidR="004B5253" w:rsidRPr="004829F6">
        <w:t>______________________________</w:t>
      </w:r>
    </w:p>
    <w:p w14:paraId="7DE440EE" w14:textId="77777777" w:rsidR="000978DD" w:rsidRPr="004829F6" w:rsidRDefault="000978DD" w:rsidP="000978DD">
      <w:pPr>
        <w:pStyle w:val="NormalHuge"/>
      </w:pPr>
      <w:r w:rsidRPr="004829F6">
        <w:t xml:space="preserve">Le </w:t>
      </w:r>
      <w:r w:rsidR="004B5253" w:rsidRPr="004829F6">
        <w:t>___</w:t>
      </w:r>
      <w:r w:rsidR="00231789" w:rsidRPr="004829F6">
        <w:t>_</w:t>
      </w:r>
      <w:r w:rsidR="004B5253" w:rsidRPr="004829F6">
        <w:t>/</w:t>
      </w:r>
      <w:r w:rsidR="00231789" w:rsidRPr="004829F6">
        <w:t>_</w:t>
      </w:r>
      <w:r w:rsidR="004B5253" w:rsidRPr="004829F6">
        <w:t>___/</w:t>
      </w:r>
      <w:r w:rsidR="00231789" w:rsidRPr="004829F6">
        <w:t>__</w:t>
      </w:r>
      <w:r w:rsidR="004B5253" w:rsidRPr="004829F6">
        <w:t>____</w:t>
      </w:r>
    </w:p>
    <w:p w14:paraId="389BF53B" w14:textId="77777777" w:rsidR="00E82800" w:rsidRPr="004829F6" w:rsidRDefault="00231789" w:rsidP="000978DD">
      <w:pPr>
        <w:pStyle w:val="NormalHuge"/>
      </w:pPr>
      <w:r w:rsidRPr="004829F6">
        <w:t>Signature</w:t>
      </w:r>
      <w:r w:rsidR="00B803CE" w:rsidRPr="004829F6">
        <w:t>(s)</w:t>
      </w:r>
      <w:r w:rsidRPr="004829F6">
        <w:t xml:space="preserve"> du</w:t>
      </w:r>
      <w:r w:rsidR="00B803CE" w:rsidRPr="004829F6">
        <w:t xml:space="preserve"> (des)</w:t>
      </w:r>
      <w:r w:rsidR="000978DD" w:rsidRPr="004829F6">
        <w:t xml:space="preserve"> CLIENT</w:t>
      </w:r>
      <w:r w:rsidR="00B803CE" w:rsidRPr="004829F6">
        <w:t>(S)</w:t>
      </w:r>
      <w:r w:rsidR="000978DD" w:rsidRPr="004829F6">
        <w:t xml:space="preserve"> ou</w:t>
      </w:r>
      <w:r w:rsidRPr="004829F6">
        <w:t xml:space="preserve"> de</w:t>
      </w:r>
      <w:r w:rsidR="000978DD" w:rsidRPr="004829F6">
        <w:t xml:space="preserve"> son représentant légal (**)</w:t>
      </w:r>
    </w:p>
    <w:p w14:paraId="081DA0F0" w14:textId="77777777" w:rsidR="000978DD" w:rsidRPr="004829F6" w:rsidRDefault="000978DD" w:rsidP="000978DD">
      <w:pPr>
        <w:pStyle w:val="NormalHuge"/>
        <w:pBdr>
          <w:top w:val="single" w:sz="4" w:space="1" w:color="auto"/>
        </w:pBdr>
      </w:pPr>
      <w:r w:rsidRPr="004829F6">
        <w:t>* date de signature</w:t>
      </w:r>
    </w:p>
    <w:p w14:paraId="73B3CD82" w14:textId="77777777" w:rsidR="000978DD" w:rsidRPr="004829F6" w:rsidRDefault="000978DD" w:rsidP="000978DD">
      <w:pPr>
        <w:pStyle w:val="NormalHuge"/>
      </w:pPr>
      <w:r w:rsidRPr="004829F6">
        <w:t>** précédée de la mention « Lu et approuvée »</w:t>
      </w:r>
    </w:p>
    <w:sectPr w:rsidR="000978DD" w:rsidRPr="004829F6" w:rsidSect="003403EE">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A8B1" w14:textId="77777777" w:rsidR="008748DC" w:rsidRDefault="008748DC" w:rsidP="00B73114">
      <w:pPr>
        <w:spacing w:after="0"/>
      </w:pPr>
      <w:r>
        <w:separator/>
      </w:r>
    </w:p>
  </w:endnote>
  <w:endnote w:type="continuationSeparator" w:id="0">
    <w:p w14:paraId="4F6F0F7E" w14:textId="77777777" w:rsidR="008748DC" w:rsidRDefault="008748DC" w:rsidP="00B731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wyn New Lt">
    <w:altName w:val="Alwyn New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CenturyGothic-Bold">
    <w:altName w:val="Calibri"/>
    <w:panose1 w:val="00000000000000000000"/>
    <w:charset w:val="00"/>
    <w:family w:val="swiss"/>
    <w:notTrueType/>
    <w:pitch w:val="default"/>
    <w:sig w:usb0="00000003" w:usb1="00000000" w:usb2="0000000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825787"/>
      <w:docPartObj>
        <w:docPartGallery w:val="Page Numbers (Bottom of Page)"/>
        <w:docPartUnique/>
      </w:docPartObj>
    </w:sdtPr>
    <w:sdtEndPr>
      <w:rPr>
        <w:szCs w:val="18"/>
      </w:rPr>
    </w:sdtEndPr>
    <w:sdtContent>
      <w:sdt>
        <w:sdtPr>
          <w:id w:val="860082579"/>
          <w:docPartObj>
            <w:docPartGallery w:val="Page Numbers (Top of Page)"/>
            <w:docPartUnique/>
          </w:docPartObj>
        </w:sdtPr>
        <w:sdtEndPr>
          <w:rPr>
            <w:szCs w:val="18"/>
          </w:rPr>
        </w:sdtEndPr>
        <w:sdtContent>
          <w:p w14:paraId="12DDC1F8" w14:textId="4EB14654" w:rsidR="00CF382D" w:rsidRPr="00AF5D37" w:rsidRDefault="00CF382D">
            <w:pPr>
              <w:pStyle w:val="Pieddepage"/>
              <w:jc w:val="right"/>
              <w:rPr>
                <w:szCs w:val="18"/>
              </w:rPr>
            </w:pPr>
            <w:r>
              <w:t>Paraphe</w:t>
            </w:r>
            <w:r w:rsidRPr="00AF5D37">
              <w:rPr>
                <w:bCs/>
                <w:szCs w:val="18"/>
              </w:rPr>
              <w:fldChar w:fldCharType="begin"/>
            </w:r>
            <w:r w:rsidRPr="00AF5D37">
              <w:rPr>
                <w:bCs/>
                <w:szCs w:val="18"/>
              </w:rPr>
              <w:instrText>PAGE</w:instrText>
            </w:r>
            <w:r w:rsidRPr="00AF5D37">
              <w:rPr>
                <w:bCs/>
                <w:szCs w:val="18"/>
              </w:rPr>
              <w:fldChar w:fldCharType="separate"/>
            </w:r>
            <w:r>
              <w:rPr>
                <w:bCs/>
                <w:noProof/>
                <w:szCs w:val="18"/>
              </w:rPr>
              <w:t>14</w:t>
            </w:r>
            <w:r w:rsidRPr="00AF5D37">
              <w:rPr>
                <w:bCs/>
                <w:szCs w:val="18"/>
              </w:rPr>
              <w:fldChar w:fldCharType="end"/>
            </w:r>
            <w:r w:rsidRPr="00AF5D37">
              <w:rPr>
                <w:szCs w:val="18"/>
              </w:rPr>
              <w:t xml:space="preserve"> / </w:t>
            </w:r>
            <w:r w:rsidRPr="00AF5D37">
              <w:rPr>
                <w:bCs/>
                <w:szCs w:val="18"/>
              </w:rPr>
              <w:fldChar w:fldCharType="begin"/>
            </w:r>
            <w:r w:rsidRPr="00AF5D37">
              <w:rPr>
                <w:bCs/>
                <w:szCs w:val="18"/>
              </w:rPr>
              <w:instrText>NUMPAGES</w:instrText>
            </w:r>
            <w:r w:rsidRPr="00AF5D37">
              <w:rPr>
                <w:bCs/>
                <w:szCs w:val="18"/>
              </w:rPr>
              <w:fldChar w:fldCharType="separate"/>
            </w:r>
            <w:r>
              <w:rPr>
                <w:bCs/>
                <w:noProof/>
                <w:szCs w:val="18"/>
              </w:rPr>
              <w:t>18</w:t>
            </w:r>
            <w:r w:rsidRPr="00AF5D37">
              <w:rPr>
                <w:bCs/>
                <w:szCs w:val="18"/>
              </w:rPr>
              <w:fldChar w:fldCharType="end"/>
            </w:r>
          </w:p>
        </w:sdtContent>
      </w:sdt>
    </w:sdtContent>
  </w:sdt>
  <w:p w14:paraId="60671398" w14:textId="77777777" w:rsidR="00CF382D" w:rsidRPr="00B73114" w:rsidRDefault="00CF382D" w:rsidP="003403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A97E" w14:textId="77777777" w:rsidR="008748DC" w:rsidRDefault="008748DC" w:rsidP="00B73114">
      <w:pPr>
        <w:spacing w:after="0"/>
      </w:pPr>
      <w:r>
        <w:separator/>
      </w:r>
    </w:p>
  </w:footnote>
  <w:footnote w:type="continuationSeparator" w:id="0">
    <w:p w14:paraId="29C9B76A" w14:textId="77777777" w:rsidR="008748DC" w:rsidRDefault="008748DC" w:rsidP="00B73114">
      <w:pPr>
        <w:spacing w:after="0"/>
      </w:pPr>
      <w:r>
        <w:continuationSeparator/>
      </w:r>
    </w:p>
  </w:footnote>
  <w:footnote w:id="1">
    <w:p w14:paraId="57D8D440" w14:textId="77777777" w:rsidR="00CF382D" w:rsidRPr="00AF5D37" w:rsidRDefault="00CF382D" w:rsidP="00691537">
      <w:r w:rsidRPr="00AF5D37">
        <w:rPr>
          <w:rStyle w:val="Appelnotedebasdep"/>
        </w:rPr>
        <w:footnoteRef/>
      </w:r>
      <w:r w:rsidRPr="00AF5D37">
        <w:t xml:space="preserve"> Si des titres nominatifs sont compris dans les titres virés, le(s) mandant(s) s’engage(nt) à signer à première demande tout ordre de mouvement afin, le cas échéant, de permettre leur négociation.</w:t>
      </w:r>
    </w:p>
  </w:footnote>
  <w:footnote w:id="2">
    <w:p w14:paraId="34537B02" w14:textId="775B0F7F" w:rsidR="00CF382D" w:rsidRPr="0028007B" w:rsidRDefault="00CF382D" w:rsidP="00691537">
      <w:pPr>
        <w:rPr>
          <w:sz w:val="16"/>
          <w:szCs w:val="16"/>
        </w:rPr>
      </w:pPr>
      <w:r w:rsidRPr="0004050C">
        <w:rPr>
          <w:rStyle w:val="Appelnotedebasdep"/>
          <w:sz w:val="16"/>
          <w:szCs w:val="16"/>
        </w:rPr>
        <w:footnoteRef/>
      </w:r>
      <w:r w:rsidRPr="0004050C">
        <w:rPr>
          <w:sz w:val="16"/>
          <w:szCs w:val="16"/>
        </w:rPr>
        <w:t xml:space="preserve"> </w:t>
      </w:r>
      <w:r w:rsidRPr="0028007B">
        <w:rPr>
          <w:sz w:val="16"/>
          <w:szCs w:val="16"/>
        </w:rPr>
        <w:t xml:space="preserve">Le calcul de l’indicateur </w:t>
      </w:r>
      <w:r w:rsidR="00323718" w:rsidRPr="0028007B">
        <w:rPr>
          <w:sz w:val="16"/>
          <w:szCs w:val="16"/>
        </w:rPr>
        <w:t>synthétique</w:t>
      </w:r>
      <w:r w:rsidRPr="0028007B">
        <w:rPr>
          <w:sz w:val="16"/>
          <w:szCs w:val="16"/>
        </w:rPr>
        <w:t xml:space="preserve"> de risque est basé sur la volatilité historique à cinq ans du profil. La donnée historique n’est pas un indicateur fiable du futur. La catégorie de risque indiquée n’est pas une cible ou une garantie de risque et est sujette à des modifications dans le temps. Un indicateur de niveau 1 ne signifie pas un investissement sans risque. Par ailleurs, l’indicateur peut ne pas prendre totalement compte de certains risques tels que le risque de liquidité sur les petites et moyennes capitalisations et le risque opérationnel.</w:t>
      </w:r>
    </w:p>
  </w:footnote>
  <w:footnote w:id="3">
    <w:p w14:paraId="3958E454" w14:textId="1AD162AC" w:rsidR="0060715B" w:rsidRPr="0028007B" w:rsidRDefault="0060715B" w:rsidP="0060715B">
      <w:pPr>
        <w:autoSpaceDE w:val="0"/>
        <w:autoSpaceDN w:val="0"/>
        <w:adjustRightInd w:val="0"/>
        <w:spacing w:after="0"/>
        <w:rPr>
          <w:rFonts w:cs="CenturyGothic"/>
          <w:sz w:val="16"/>
          <w:szCs w:val="16"/>
          <w:lang w:eastAsia="fr-FR"/>
        </w:rPr>
      </w:pPr>
      <w:r w:rsidRPr="0028007B">
        <w:rPr>
          <w:rStyle w:val="Appelnotedebasdep"/>
          <w:sz w:val="16"/>
          <w:szCs w:val="16"/>
        </w:rPr>
        <w:footnoteRef/>
      </w:r>
      <w:r w:rsidRPr="0028007B">
        <w:rPr>
          <w:sz w:val="16"/>
          <w:szCs w:val="16"/>
        </w:rPr>
        <w:t xml:space="preserve"> Le SRI </w:t>
      </w:r>
      <w:r w:rsidRPr="0028007B">
        <w:rPr>
          <w:rFonts w:cs="CenturyGothic"/>
          <w:sz w:val="16"/>
          <w:szCs w:val="16"/>
          <w:lang w:eastAsia="fr-FR"/>
        </w:rPr>
        <w:t>est communiqué au Mandant au minimum annuellement et préalablement à la signature du Mandat, en fonction des conditions de marché. Il est susceptible d'évoluer en fonction des conditions de marché y compris l'absence de mouvement sur le portefeuille.</w:t>
      </w:r>
    </w:p>
    <w:p w14:paraId="223C2F9A" w14:textId="2FDA6DDA" w:rsidR="0060715B" w:rsidRPr="0028007B" w:rsidRDefault="0060715B" w:rsidP="0060715B">
      <w:pPr>
        <w:autoSpaceDE w:val="0"/>
        <w:autoSpaceDN w:val="0"/>
        <w:adjustRightInd w:val="0"/>
        <w:spacing w:after="0"/>
        <w:rPr>
          <w:rFonts w:cs="CenturyGothic"/>
          <w:sz w:val="16"/>
          <w:szCs w:val="16"/>
          <w:lang w:eastAsia="fr-FR"/>
        </w:rPr>
      </w:pPr>
      <w:r w:rsidRPr="0028007B">
        <w:rPr>
          <w:rFonts w:cs="CenturyGothic"/>
          <w:sz w:val="16"/>
          <w:szCs w:val="16"/>
          <w:lang w:eastAsia="fr-FR"/>
        </w:rPr>
        <w:t>Le SRI sera communiqué dans le relevé périodique des activités de gestion de portefeuille.</w:t>
      </w:r>
    </w:p>
    <w:p w14:paraId="5FFCF413" w14:textId="56A5ABC1" w:rsidR="0060715B" w:rsidRPr="0028007B" w:rsidRDefault="0028007B" w:rsidP="0060715B">
      <w:pPr>
        <w:autoSpaceDE w:val="0"/>
        <w:autoSpaceDN w:val="0"/>
        <w:adjustRightInd w:val="0"/>
        <w:spacing w:after="0"/>
        <w:rPr>
          <w:sz w:val="16"/>
          <w:szCs w:val="16"/>
        </w:rPr>
      </w:pPr>
      <w:r w:rsidRPr="0028007B">
        <w:rPr>
          <w:sz w:val="16"/>
          <w:szCs w:val="16"/>
        </w:rPr>
        <w:t>Le SRI est toujours représenté sur une échelle allant de 1 (le moins risqué) à 7 (le plus risqué) : elle repose à la fois sur le risque de marché (la baisse de la valeur des investissements) mais également sur le risque de crédit (la possibilité que l’émetteur ne puisse pas rembourser). </w:t>
      </w:r>
      <w:r>
        <w:rPr>
          <w:sz w:val="16"/>
          <w:szCs w:val="16"/>
        </w:rPr>
        <w:t>Il</w:t>
      </w:r>
      <w:r w:rsidR="0060715B" w:rsidRPr="0028007B">
        <w:rPr>
          <w:rFonts w:cs="CenturyGothic"/>
          <w:sz w:val="16"/>
          <w:szCs w:val="16"/>
          <w:lang w:eastAsia="fr-FR"/>
        </w:rPr>
        <w:t xml:space="preserve"> permet au Mandant d’appréhender le potentiel de performance par rapport au risque qu’il présente. A risque plus faible, rendement potentiel plus faible – A risque plus élevé, rendement potentiel plus élevé.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99A"/>
    <w:multiLevelType w:val="hybridMultilevel"/>
    <w:tmpl w:val="0DFE4846"/>
    <w:lvl w:ilvl="0" w:tplc="61D6C9D6">
      <w:start w:val="1"/>
      <w:numFmt w:val="decimal"/>
      <w:lvlText w:val="ARTICLE %1 :"/>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3E1DAC"/>
    <w:multiLevelType w:val="hybridMultilevel"/>
    <w:tmpl w:val="CD1EB440"/>
    <w:lvl w:ilvl="0" w:tplc="93326A88">
      <w:start w:val="1"/>
      <w:numFmt w:val="decimal"/>
      <w:pStyle w:val="Articles"/>
      <w:lvlText w:val="ARTICLE %1 :"/>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CB6AC36">
      <w:start w:val="1"/>
      <w:numFmt w:val="upperRoman"/>
      <w:pStyle w:val="Article2"/>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4A77055"/>
    <w:multiLevelType w:val="hybridMultilevel"/>
    <w:tmpl w:val="9926B6C0"/>
    <w:lvl w:ilvl="0" w:tplc="703AE264">
      <w:start w:val="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5F5198"/>
    <w:multiLevelType w:val="hybridMultilevel"/>
    <w:tmpl w:val="F7C86A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58350DD"/>
    <w:multiLevelType w:val="hybridMultilevel"/>
    <w:tmpl w:val="FB742D5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7674D4B"/>
    <w:multiLevelType w:val="hybridMultilevel"/>
    <w:tmpl w:val="D39CAA4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8066A64"/>
    <w:multiLevelType w:val="hybridMultilevel"/>
    <w:tmpl w:val="98BCE8C0"/>
    <w:lvl w:ilvl="0" w:tplc="61D6C9D6">
      <w:start w:val="1"/>
      <w:numFmt w:val="decimal"/>
      <w:lvlText w:val="ARTICLE %1 :"/>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19760A"/>
    <w:multiLevelType w:val="hybridMultilevel"/>
    <w:tmpl w:val="6360DD2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1782D65"/>
    <w:multiLevelType w:val="multilevel"/>
    <w:tmpl w:val="4CF8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D8010B"/>
    <w:multiLevelType w:val="hybridMultilevel"/>
    <w:tmpl w:val="608A1D34"/>
    <w:lvl w:ilvl="0" w:tplc="040C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97239E"/>
    <w:multiLevelType w:val="hybridMultilevel"/>
    <w:tmpl w:val="39F4A9A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B922CF8"/>
    <w:multiLevelType w:val="hybridMultilevel"/>
    <w:tmpl w:val="A2FAC5D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6DE24BF"/>
    <w:multiLevelType w:val="hybridMultilevel"/>
    <w:tmpl w:val="18001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AE3C8D"/>
    <w:multiLevelType w:val="hybridMultilevel"/>
    <w:tmpl w:val="6F7450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5A56BC"/>
    <w:multiLevelType w:val="hybridMultilevel"/>
    <w:tmpl w:val="1A6ACF02"/>
    <w:lvl w:ilvl="0" w:tplc="034273B4">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A63FAB"/>
    <w:multiLevelType w:val="hybridMultilevel"/>
    <w:tmpl w:val="D668E0DC"/>
    <w:lvl w:ilvl="0" w:tplc="1DB89BEC">
      <w:start w:val="1"/>
      <w:numFmt w:val="bullet"/>
      <w:pStyle w:val="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9861099">
    <w:abstractNumId w:val="13"/>
  </w:num>
  <w:num w:numId="2" w16cid:durableId="992636729">
    <w:abstractNumId w:val="15"/>
  </w:num>
  <w:num w:numId="3" w16cid:durableId="358631452">
    <w:abstractNumId w:val="1"/>
  </w:num>
  <w:num w:numId="4" w16cid:durableId="169684902">
    <w:abstractNumId w:val="7"/>
  </w:num>
  <w:num w:numId="5" w16cid:durableId="869689677">
    <w:abstractNumId w:val="9"/>
  </w:num>
  <w:num w:numId="6" w16cid:durableId="1198002691">
    <w:abstractNumId w:val="10"/>
  </w:num>
  <w:num w:numId="7" w16cid:durableId="993221970">
    <w:abstractNumId w:val="11"/>
  </w:num>
  <w:num w:numId="8" w16cid:durableId="53509049">
    <w:abstractNumId w:val="5"/>
  </w:num>
  <w:num w:numId="9" w16cid:durableId="649409531">
    <w:abstractNumId w:val="4"/>
  </w:num>
  <w:num w:numId="10" w16cid:durableId="1965386088">
    <w:abstractNumId w:val="3"/>
  </w:num>
  <w:num w:numId="11" w16cid:durableId="493691804">
    <w:abstractNumId w:val="2"/>
  </w:num>
  <w:num w:numId="12" w16cid:durableId="734282687">
    <w:abstractNumId w:val="6"/>
  </w:num>
  <w:num w:numId="13" w16cid:durableId="1002390204">
    <w:abstractNumId w:val="0"/>
  </w:num>
  <w:num w:numId="14" w16cid:durableId="266085108">
    <w:abstractNumId w:val="1"/>
    <w:lvlOverride w:ilvl="0">
      <w:startOverride w:val="5"/>
    </w:lvlOverride>
  </w:num>
  <w:num w:numId="15" w16cid:durableId="1962300806">
    <w:abstractNumId w:val="14"/>
  </w:num>
  <w:num w:numId="16" w16cid:durableId="617686735">
    <w:abstractNumId w:val="12"/>
  </w:num>
  <w:num w:numId="17" w16cid:durableId="1055590140">
    <w:abstractNumId w:val="8"/>
  </w:num>
  <w:num w:numId="18" w16cid:durableId="191575849">
    <w:abstractNumId w:val="1"/>
  </w:num>
  <w:num w:numId="19" w16cid:durableId="691033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59"/>
    <w:rsid w:val="00000885"/>
    <w:rsid w:val="000023F5"/>
    <w:rsid w:val="00016FE3"/>
    <w:rsid w:val="000213BC"/>
    <w:rsid w:val="0002735F"/>
    <w:rsid w:val="000343F3"/>
    <w:rsid w:val="0004050C"/>
    <w:rsid w:val="00042106"/>
    <w:rsid w:val="0004429E"/>
    <w:rsid w:val="00047075"/>
    <w:rsid w:val="00062D8D"/>
    <w:rsid w:val="000737FE"/>
    <w:rsid w:val="00074C1F"/>
    <w:rsid w:val="00076C12"/>
    <w:rsid w:val="00077470"/>
    <w:rsid w:val="00080D57"/>
    <w:rsid w:val="00084B5A"/>
    <w:rsid w:val="00084F07"/>
    <w:rsid w:val="0008649D"/>
    <w:rsid w:val="00090A07"/>
    <w:rsid w:val="000962E3"/>
    <w:rsid w:val="000978DD"/>
    <w:rsid w:val="000A196B"/>
    <w:rsid w:val="000C4004"/>
    <w:rsid w:val="000C4EAF"/>
    <w:rsid w:val="000C5450"/>
    <w:rsid w:val="000C5547"/>
    <w:rsid w:val="000D46B0"/>
    <w:rsid w:val="000E1ADE"/>
    <w:rsid w:val="000E2E66"/>
    <w:rsid w:val="000E3275"/>
    <w:rsid w:val="00110D69"/>
    <w:rsid w:val="00121396"/>
    <w:rsid w:val="001222DA"/>
    <w:rsid w:val="001246D2"/>
    <w:rsid w:val="001279C6"/>
    <w:rsid w:val="0013146C"/>
    <w:rsid w:val="00131915"/>
    <w:rsid w:val="00142FC9"/>
    <w:rsid w:val="0014349D"/>
    <w:rsid w:val="00143E3F"/>
    <w:rsid w:val="00144867"/>
    <w:rsid w:val="00152EC6"/>
    <w:rsid w:val="001570B7"/>
    <w:rsid w:val="0016388A"/>
    <w:rsid w:val="00170B2C"/>
    <w:rsid w:val="0017116C"/>
    <w:rsid w:val="001731EB"/>
    <w:rsid w:val="001769BA"/>
    <w:rsid w:val="00185124"/>
    <w:rsid w:val="00190BD7"/>
    <w:rsid w:val="00195446"/>
    <w:rsid w:val="001A2F8D"/>
    <w:rsid w:val="001A6159"/>
    <w:rsid w:val="001B187A"/>
    <w:rsid w:val="001B1A85"/>
    <w:rsid w:val="001B4902"/>
    <w:rsid w:val="001B5FD8"/>
    <w:rsid w:val="001C26B3"/>
    <w:rsid w:val="001C4D95"/>
    <w:rsid w:val="001D3495"/>
    <w:rsid w:val="001D5436"/>
    <w:rsid w:val="001D7C60"/>
    <w:rsid w:val="001E546D"/>
    <w:rsid w:val="00204529"/>
    <w:rsid w:val="00205544"/>
    <w:rsid w:val="00221B73"/>
    <w:rsid w:val="0022672C"/>
    <w:rsid w:val="00231789"/>
    <w:rsid w:val="002331F8"/>
    <w:rsid w:val="00233962"/>
    <w:rsid w:val="00234A3A"/>
    <w:rsid w:val="002359FB"/>
    <w:rsid w:val="00240671"/>
    <w:rsid w:val="00251807"/>
    <w:rsid w:val="00251B22"/>
    <w:rsid w:val="00255E06"/>
    <w:rsid w:val="0025615F"/>
    <w:rsid w:val="00266A00"/>
    <w:rsid w:val="002670A5"/>
    <w:rsid w:val="00271D59"/>
    <w:rsid w:val="00273ABF"/>
    <w:rsid w:val="002758BF"/>
    <w:rsid w:val="0028007B"/>
    <w:rsid w:val="00295B9D"/>
    <w:rsid w:val="0029638D"/>
    <w:rsid w:val="00297059"/>
    <w:rsid w:val="002A57B6"/>
    <w:rsid w:val="002A5B4B"/>
    <w:rsid w:val="002B4162"/>
    <w:rsid w:val="002F2663"/>
    <w:rsid w:val="00300428"/>
    <w:rsid w:val="003008E2"/>
    <w:rsid w:val="00302623"/>
    <w:rsid w:val="00302E95"/>
    <w:rsid w:val="0031296A"/>
    <w:rsid w:val="00312A46"/>
    <w:rsid w:val="0031773D"/>
    <w:rsid w:val="00323718"/>
    <w:rsid w:val="00323F8C"/>
    <w:rsid w:val="00326354"/>
    <w:rsid w:val="003273C0"/>
    <w:rsid w:val="00334503"/>
    <w:rsid w:val="003403EE"/>
    <w:rsid w:val="00354066"/>
    <w:rsid w:val="00364FE6"/>
    <w:rsid w:val="00371725"/>
    <w:rsid w:val="003775AE"/>
    <w:rsid w:val="00391308"/>
    <w:rsid w:val="003950B6"/>
    <w:rsid w:val="0039722A"/>
    <w:rsid w:val="003978A4"/>
    <w:rsid w:val="003A66C0"/>
    <w:rsid w:val="003A7827"/>
    <w:rsid w:val="003B6BB4"/>
    <w:rsid w:val="003C220C"/>
    <w:rsid w:val="003C471F"/>
    <w:rsid w:val="003C4DB6"/>
    <w:rsid w:val="003C5231"/>
    <w:rsid w:val="003C5B26"/>
    <w:rsid w:val="003C5D44"/>
    <w:rsid w:val="003C66F7"/>
    <w:rsid w:val="003D54EF"/>
    <w:rsid w:val="003D5AB0"/>
    <w:rsid w:val="003D79DF"/>
    <w:rsid w:val="003F3859"/>
    <w:rsid w:val="00400A67"/>
    <w:rsid w:val="00402279"/>
    <w:rsid w:val="0041368F"/>
    <w:rsid w:val="0041795E"/>
    <w:rsid w:val="004232A0"/>
    <w:rsid w:val="0042713E"/>
    <w:rsid w:val="004352CB"/>
    <w:rsid w:val="00436F68"/>
    <w:rsid w:val="00446877"/>
    <w:rsid w:val="00455CDC"/>
    <w:rsid w:val="00455E73"/>
    <w:rsid w:val="00457869"/>
    <w:rsid w:val="00460177"/>
    <w:rsid w:val="0046113C"/>
    <w:rsid w:val="00463192"/>
    <w:rsid w:val="00463928"/>
    <w:rsid w:val="0047137A"/>
    <w:rsid w:val="004716BE"/>
    <w:rsid w:val="004729E5"/>
    <w:rsid w:val="004829F6"/>
    <w:rsid w:val="00483B5F"/>
    <w:rsid w:val="004872CF"/>
    <w:rsid w:val="004937D5"/>
    <w:rsid w:val="004939A4"/>
    <w:rsid w:val="00496383"/>
    <w:rsid w:val="004A1B88"/>
    <w:rsid w:val="004A32B2"/>
    <w:rsid w:val="004B0CE8"/>
    <w:rsid w:val="004B3812"/>
    <w:rsid w:val="004B491F"/>
    <w:rsid w:val="004B5253"/>
    <w:rsid w:val="004B617F"/>
    <w:rsid w:val="004B6A40"/>
    <w:rsid w:val="004B6E27"/>
    <w:rsid w:val="004C4D72"/>
    <w:rsid w:val="004D3F82"/>
    <w:rsid w:val="004D6F99"/>
    <w:rsid w:val="004F0CD3"/>
    <w:rsid w:val="00505F13"/>
    <w:rsid w:val="00506C7E"/>
    <w:rsid w:val="00507D85"/>
    <w:rsid w:val="0051389D"/>
    <w:rsid w:val="005238D8"/>
    <w:rsid w:val="00524BC5"/>
    <w:rsid w:val="0052784D"/>
    <w:rsid w:val="00533DC1"/>
    <w:rsid w:val="005519D8"/>
    <w:rsid w:val="005525F2"/>
    <w:rsid w:val="00555BDE"/>
    <w:rsid w:val="00560A4C"/>
    <w:rsid w:val="00563EFD"/>
    <w:rsid w:val="00571922"/>
    <w:rsid w:val="00571D0E"/>
    <w:rsid w:val="00572886"/>
    <w:rsid w:val="00573131"/>
    <w:rsid w:val="00577584"/>
    <w:rsid w:val="00581254"/>
    <w:rsid w:val="00587523"/>
    <w:rsid w:val="0058785E"/>
    <w:rsid w:val="00591E2C"/>
    <w:rsid w:val="005921A3"/>
    <w:rsid w:val="00592E64"/>
    <w:rsid w:val="005960A2"/>
    <w:rsid w:val="005A4A19"/>
    <w:rsid w:val="005B2FAD"/>
    <w:rsid w:val="005B5546"/>
    <w:rsid w:val="005B6D46"/>
    <w:rsid w:val="005C64BD"/>
    <w:rsid w:val="005D08CE"/>
    <w:rsid w:val="005D4913"/>
    <w:rsid w:val="005E4A02"/>
    <w:rsid w:val="005E5ADC"/>
    <w:rsid w:val="005E68D2"/>
    <w:rsid w:val="005F6F19"/>
    <w:rsid w:val="00600F6A"/>
    <w:rsid w:val="006046F9"/>
    <w:rsid w:val="00604A1D"/>
    <w:rsid w:val="00604DAB"/>
    <w:rsid w:val="006068A4"/>
    <w:rsid w:val="0060715B"/>
    <w:rsid w:val="00610911"/>
    <w:rsid w:val="00610CF9"/>
    <w:rsid w:val="00611B6A"/>
    <w:rsid w:val="00617379"/>
    <w:rsid w:val="00632550"/>
    <w:rsid w:val="0063269E"/>
    <w:rsid w:val="00635905"/>
    <w:rsid w:val="00642AFD"/>
    <w:rsid w:val="00643F03"/>
    <w:rsid w:val="00643F47"/>
    <w:rsid w:val="00647664"/>
    <w:rsid w:val="00647FAB"/>
    <w:rsid w:val="0065246B"/>
    <w:rsid w:val="00653FE0"/>
    <w:rsid w:val="0066245F"/>
    <w:rsid w:val="0066300D"/>
    <w:rsid w:val="00665BC0"/>
    <w:rsid w:val="006672CC"/>
    <w:rsid w:val="006712F8"/>
    <w:rsid w:val="00675F87"/>
    <w:rsid w:val="0068381F"/>
    <w:rsid w:val="006852AF"/>
    <w:rsid w:val="0068657B"/>
    <w:rsid w:val="00691537"/>
    <w:rsid w:val="006A527E"/>
    <w:rsid w:val="006B2848"/>
    <w:rsid w:val="006B35FE"/>
    <w:rsid w:val="006B4586"/>
    <w:rsid w:val="006C364C"/>
    <w:rsid w:val="006D2E37"/>
    <w:rsid w:val="006D7AC2"/>
    <w:rsid w:val="006F046D"/>
    <w:rsid w:val="006F0581"/>
    <w:rsid w:val="0070108B"/>
    <w:rsid w:val="007101B9"/>
    <w:rsid w:val="007105C1"/>
    <w:rsid w:val="00712F99"/>
    <w:rsid w:val="00714A9C"/>
    <w:rsid w:val="0072089B"/>
    <w:rsid w:val="00720D52"/>
    <w:rsid w:val="0072102B"/>
    <w:rsid w:val="00722FDE"/>
    <w:rsid w:val="00727438"/>
    <w:rsid w:val="00734A13"/>
    <w:rsid w:val="00744B57"/>
    <w:rsid w:val="00760071"/>
    <w:rsid w:val="00772C73"/>
    <w:rsid w:val="0077469F"/>
    <w:rsid w:val="00774C78"/>
    <w:rsid w:val="007923FE"/>
    <w:rsid w:val="007972A1"/>
    <w:rsid w:val="007A09BE"/>
    <w:rsid w:val="007A3EB8"/>
    <w:rsid w:val="007A6C1F"/>
    <w:rsid w:val="007A736C"/>
    <w:rsid w:val="007B1085"/>
    <w:rsid w:val="007B2147"/>
    <w:rsid w:val="007B6BE7"/>
    <w:rsid w:val="007B6F81"/>
    <w:rsid w:val="007C0704"/>
    <w:rsid w:val="007C0D6C"/>
    <w:rsid w:val="007D6738"/>
    <w:rsid w:val="007D75A6"/>
    <w:rsid w:val="007E3485"/>
    <w:rsid w:val="007E3DA2"/>
    <w:rsid w:val="007E5EE7"/>
    <w:rsid w:val="007F20FF"/>
    <w:rsid w:val="007F7601"/>
    <w:rsid w:val="00800D1E"/>
    <w:rsid w:val="00802E6C"/>
    <w:rsid w:val="00812BC5"/>
    <w:rsid w:val="008157F9"/>
    <w:rsid w:val="00816C9A"/>
    <w:rsid w:val="00817DA9"/>
    <w:rsid w:val="008347CF"/>
    <w:rsid w:val="00851BFF"/>
    <w:rsid w:val="00851C19"/>
    <w:rsid w:val="00870508"/>
    <w:rsid w:val="00874739"/>
    <w:rsid w:val="008748DC"/>
    <w:rsid w:val="0087563E"/>
    <w:rsid w:val="00894A98"/>
    <w:rsid w:val="00897AF9"/>
    <w:rsid w:val="008A590E"/>
    <w:rsid w:val="008C122D"/>
    <w:rsid w:val="008C3E50"/>
    <w:rsid w:val="008D3BE6"/>
    <w:rsid w:val="008D4BA0"/>
    <w:rsid w:val="008F5131"/>
    <w:rsid w:val="008F5A83"/>
    <w:rsid w:val="00900723"/>
    <w:rsid w:val="00904A53"/>
    <w:rsid w:val="00904D90"/>
    <w:rsid w:val="00905702"/>
    <w:rsid w:val="00912917"/>
    <w:rsid w:val="0091484A"/>
    <w:rsid w:val="00914C51"/>
    <w:rsid w:val="00917352"/>
    <w:rsid w:val="009213F5"/>
    <w:rsid w:val="00926646"/>
    <w:rsid w:val="00931CAB"/>
    <w:rsid w:val="00931CBD"/>
    <w:rsid w:val="00936FA8"/>
    <w:rsid w:val="0093792B"/>
    <w:rsid w:val="009446FB"/>
    <w:rsid w:val="0096325F"/>
    <w:rsid w:val="00965B36"/>
    <w:rsid w:val="00967619"/>
    <w:rsid w:val="00975589"/>
    <w:rsid w:val="00980445"/>
    <w:rsid w:val="00980DE7"/>
    <w:rsid w:val="00984877"/>
    <w:rsid w:val="00987D44"/>
    <w:rsid w:val="00990DAA"/>
    <w:rsid w:val="00992600"/>
    <w:rsid w:val="00995505"/>
    <w:rsid w:val="00995D32"/>
    <w:rsid w:val="009A4236"/>
    <w:rsid w:val="009B3EB2"/>
    <w:rsid w:val="009C0423"/>
    <w:rsid w:val="009D5898"/>
    <w:rsid w:val="009E0A04"/>
    <w:rsid w:val="009F66BC"/>
    <w:rsid w:val="00A02E59"/>
    <w:rsid w:val="00A21368"/>
    <w:rsid w:val="00A23983"/>
    <w:rsid w:val="00A308C5"/>
    <w:rsid w:val="00A31488"/>
    <w:rsid w:val="00A33547"/>
    <w:rsid w:val="00A3432C"/>
    <w:rsid w:val="00A35218"/>
    <w:rsid w:val="00A406DF"/>
    <w:rsid w:val="00A43949"/>
    <w:rsid w:val="00A44950"/>
    <w:rsid w:val="00A55113"/>
    <w:rsid w:val="00A55612"/>
    <w:rsid w:val="00A55BD5"/>
    <w:rsid w:val="00A573CF"/>
    <w:rsid w:val="00A67723"/>
    <w:rsid w:val="00A701F6"/>
    <w:rsid w:val="00A7098D"/>
    <w:rsid w:val="00A72630"/>
    <w:rsid w:val="00A74423"/>
    <w:rsid w:val="00A81511"/>
    <w:rsid w:val="00A85059"/>
    <w:rsid w:val="00A85445"/>
    <w:rsid w:val="00AA192B"/>
    <w:rsid w:val="00AA4ADB"/>
    <w:rsid w:val="00AB0782"/>
    <w:rsid w:val="00AB18BF"/>
    <w:rsid w:val="00AB33B9"/>
    <w:rsid w:val="00AB7B97"/>
    <w:rsid w:val="00AC5E57"/>
    <w:rsid w:val="00AD59A1"/>
    <w:rsid w:val="00AF102A"/>
    <w:rsid w:val="00AF50EA"/>
    <w:rsid w:val="00AF5D37"/>
    <w:rsid w:val="00B01BDE"/>
    <w:rsid w:val="00B07287"/>
    <w:rsid w:val="00B1127C"/>
    <w:rsid w:val="00B12530"/>
    <w:rsid w:val="00B225F6"/>
    <w:rsid w:val="00B23402"/>
    <w:rsid w:val="00B24A94"/>
    <w:rsid w:val="00B27B36"/>
    <w:rsid w:val="00B3023A"/>
    <w:rsid w:val="00B42540"/>
    <w:rsid w:val="00B50D64"/>
    <w:rsid w:val="00B52C43"/>
    <w:rsid w:val="00B54895"/>
    <w:rsid w:val="00B648B6"/>
    <w:rsid w:val="00B73114"/>
    <w:rsid w:val="00B764D8"/>
    <w:rsid w:val="00B76A23"/>
    <w:rsid w:val="00B803CE"/>
    <w:rsid w:val="00B928AD"/>
    <w:rsid w:val="00BA1F80"/>
    <w:rsid w:val="00BA5B45"/>
    <w:rsid w:val="00BA6B6A"/>
    <w:rsid w:val="00BB08BB"/>
    <w:rsid w:val="00BB2C9D"/>
    <w:rsid w:val="00BB59D4"/>
    <w:rsid w:val="00BC6363"/>
    <w:rsid w:val="00BD0074"/>
    <w:rsid w:val="00BD03C9"/>
    <w:rsid w:val="00BD42FD"/>
    <w:rsid w:val="00BD6A40"/>
    <w:rsid w:val="00BD7DF9"/>
    <w:rsid w:val="00BE2927"/>
    <w:rsid w:val="00BF2E18"/>
    <w:rsid w:val="00BF35A6"/>
    <w:rsid w:val="00BF6315"/>
    <w:rsid w:val="00C009AB"/>
    <w:rsid w:val="00C05101"/>
    <w:rsid w:val="00C1003A"/>
    <w:rsid w:val="00C14296"/>
    <w:rsid w:val="00C42DDA"/>
    <w:rsid w:val="00C5315F"/>
    <w:rsid w:val="00C568EB"/>
    <w:rsid w:val="00C57E77"/>
    <w:rsid w:val="00C6101E"/>
    <w:rsid w:val="00C70FDA"/>
    <w:rsid w:val="00C76013"/>
    <w:rsid w:val="00C8092F"/>
    <w:rsid w:val="00C87FAD"/>
    <w:rsid w:val="00CA4157"/>
    <w:rsid w:val="00CC2389"/>
    <w:rsid w:val="00CC2473"/>
    <w:rsid w:val="00CC252D"/>
    <w:rsid w:val="00CC6CA7"/>
    <w:rsid w:val="00CD54E4"/>
    <w:rsid w:val="00CD5EDB"/>
    <w:rsid w:val="00CE278A"/>
    <w:rsid w:val="00CE3868"/>
    <w:rsid w:val="00CE73E9"/>
    <w:rsid w:val="00CF382D"/>
    <w:rsid w:val="00CF41C4"/>
    <w:rsid w:val="00D00903"/>
    <w:rsid w:val="00D20D77"/>
    <w:rsid w:val="00D335E4"/>
    <w:rsid w:val="00D40AF8"/>
    <w:rsid w:val="00D43857"/>
    <w:rsid w:val="00D44B25"/>
    <w:rsid w:val="00D45D58"/>
    <w:rsid w:val="00D526A2"/>
    <w:rsid w:val="00D526D6"/>
    <w:rsid w:val="00D564C2"/>
    <w:rsid w:val="00D717F7"/>
    <w:rsid w:val="00D7714F"/>
    <w:rsid w:val="00D84B19"/>
    <w:rsid w:val="00D86269"/>
    <w:rsid w:val="00D92B33"/>
    <w:rsid w:val="00D957A0"/>
    <w:rsid w:val="00D96847"/>
    <w:rsid w:val="00DA4940"/>
    <w:rsid w:val="00DA70B8"/>
    <w:rsid w:val="00DB0975"/>
    <w:rsid w:val="00DB7096"/>
    <w:rsid w:val="00DC3E17"/>
    <w:rsid w:val="00DC46E1"/>
    <w:rsid w:val="00DC5559"/>
    <w:rsid w:val="00DD7E02"/>
    <w:rsid w:val="00DD7EB6"/>
    <w:rsid w:val="00DE0B01"/>
    <w:rsid w:val="00DE57DB"/>
    <w:rsid w:val="00DF71D5"/>
    <w:rsid w:val="00DF7BED"/>
    <w:rsid w:val="00E00E7A"/>
    <w:rsid w:val="00E0158E"/>
    <w:rsid w:val="00E06CDD"/>
    <w:rsid w:val="00E10DF7"/>
    <w:rsid w:val="00E11082"/>
    <w:rsid w:val="00E14CA8"/>
    <w:rsid w:val="00E16365"/>
    <w:rsid w:val="00E17C7C"/>
    <w:rsid w:val="00E264C5"/>
    <w:rsid w:val="00E269BB"/>
    <w:rsid w:val="00E301A7"/>
    <w:rsid w:val="00E46AC4"/>
    <w:rsid w:val="00E515D9"/>
    <w:rsid w:val="00E60B95"/>
    <w:rsid w:val="00E62486"/>
    <w:rsid w:val="00E63A0A"/>
    <w:rsid w:val="00E64445"/>
    <w:rsid w:val="00E64A0D"/>
    <w:rsid w:val="00E6550C"/>
    <w:rsid w:val="00E7364E"/>
    <w:rsid w:val="00E73ED8"/>
    <w:rsid w:val="00E76A9E"/>
    <w:rsid w:val="00E82800"/>
    <w:rsid w:val="00E91DF7"/>
    <w:rsid w:val="00E94D88"/>
    <w:rsid w:val="00EB17C2"/>
    <w:rsid w:val="00EB52B8"/>
    <w:rsid w:val="00EB59CB"/>
    <w:rsid w:val="00EB6C51"/>
    <w:rsid w:val="00ED2992"/>
    <w:rsid w:val="00ED4024"/>
    <w:rsid w:val="00ED79D8"/>
    <w:rsid w:val="00EE4F10"/>
    <w:rsid w:val="00F02BC3"/>
    <w:rsid w:val="00F106C1"/>
    <w:rsid w:val="00F12727"/>
    <w:rsid w:val="00F12B7A"/>
    <w:rsid w:val="00F13CB4"/>
    <w:rsid w:val="00F238D8"/>
    <w:rsid w:val="00F3767E"/>
    <w:rsid w:val="00F40F1E"/>
    <w:rsid w:val="00F41A0D"/>
    <w:rsid w:val="00F4215F"/>
    <w:rsid w:val="00F47FB6"/>
    <w:rsid w:val="00F67A90"/>
    <w:rsid w:val="00F7753F"/>
    <w:rsid w:val="00F80294"/>
    <w:rsid w:val="00F9549A"/>
    <w:rsid w:val="00F97877"/>
    <w:rsid w:val="00FA2FB8"/>
    <w:rsid w:val="00FA6456"/>
    <w:rsid w:val="00FA7C57"/>
    <w:rsid w:val="00FB1FDE"/>
    <w:rsid w:val="00FB2ED5"/>
    <w:rsid w:val="00FB3DCD"/>
    <w:rsid w:val="00FB590A"/>
    <w:rsid w:val="00FC1FE3"/>
    <w:rsid w:val="00FC6EE8"/>
    <w:rsid w:val="00FD03ED"/>
    <w:rsid w:val="00FD7F8B"/>
    <w:rsid w:val="00FE16E9"/>
    <w:rsid w:val="00FE66F5"/>
    <w:rsid w:val="00FF3D4F"/>
    <w:rsid w:val="00FF5179"/>
    <w:rsid w:val="00FF7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33F27"/>
  <w15:docId w15:val="{83248A4A-7A38-4BE0-B6C9-4FB2152B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114"/>
    <w:pPr>
      <w:spacing w:after="60"/>
    </w:pPr>
    <w:rPr>
      <w:rFonts w:ascii="Century Gothic" w:hAnsi="Century Gothic"/>
      <w:sz w:val="18"/>
      <w:szCs w:val="22"/>
      <w:lang w:eastAsia="en-US"/>
    </w:rPr>
  </w:style>
  <w:style w:type="paragraph" w:styleId="Titre1">
    <w:name w:val="heading 1"/>
    <w:basedOn w:val="Normal"/>
    <w:next w:val="Normal"/>
    <w:link w:val="Titre1Car"/>
    <w:qFormat/>
    <w:rsid w:val="00B73114"/>
    <w:pPr>
      <w:spacing w:before="120" w:after="120"/>
      <w:jc w:val="center"/>
      <w:outlineLvl w:val="0"/>
    </w:pPr>
    <w:rPr>
      <w:b/>
      <w: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1484A"/>
    <w:pPr>
      <w:spacing w:after="0"/>
      <w:jc w:val="center"/>
      <w:outlineLvl w:val="0"/>
    </w:pPr>
    <w:rPr>
      <w:rFonts w:eastAsia="Times New Roman"/>
      <w:bCs/>
      <w:kern w:val="28"/>
      <w:sz w:val="40"/>
      <w:szCs w:val="32"/>
    </w:rPr>
  </w:style>
  <w:style w:type="character" w:customStyle="1" w:styleId="TitreCar">
    <w:name w:val="Titre Car"/>
    <w:link w:val="Titre"/>
    <w:uiPriority w:val="10"/>
    <w:rsid w:val="0091484A"/>
    <w:rPr>
      <w:rFonts w:ascii="Century Gothic" w:eastAsia="Times New Roman" w:hAnsi="Century Gothic"/>
      <w:bCs/>
      <w:kern w:val="28"/>
      <w:sz w:val="40"/>
      <w:szCs w:val="32"/>
      <w:lang w:eastAsia="en-US"/>
    </w:rPr>
  </w:style>
  <w:style w:type="character" w:customStyle="1" w:styleId="Titre1Car">
    <w:name w:val="Titre 1 Car"/>
    <w:basedOn w:val="Policepardfaut"/>
    <w:link w:val="Titre1"/>
    <w:rsid w:val="00B73114"/>
    <w:rPr>
      <w:rFonts w:ascii="Century Gothic" w:hAnsi="Century Gothic"/>
      <w:b/>
      <w:caps/>
      <w:sz w:val="24"/>
      <w:szCs w:val="22"/>
      <w:lang w:eastAsia="en-US"/>
    </w:rPr>
  </w:style>
  <w:style w:type="paragraph" w:customStyle="1" w:styleId="NormalCentered">
    <w:name w:val="Normal Centered"/>
    <w:link w:val="NormalCenteredCar"/>
    <w:qFormat/>
    <w:rsid w:val="00563EFD"/>
    <w:pPr>
      <w:spacing w:after="120"/>
      <w:jc w:val="center"/>
    </w:pPr>
    <w:rPr>
      <w:rFonts w:ascii="Century Gothic" w:hAnsi="Century Gothic"/>
      <w:sz w:val="32"/>
      <w:szCs w:val="22"/>
      <w:lang w:eastAsia="en-US"/>
    </w:rPr>
  </w:style>
  <w:style w:type="paragraph" w:customStyle="1" w:styleId="NormalBold">
    <w:name w:val="Normal Bold"/>
    <w:link w:val="NormalBoldCar"/>
    <w:qFormat/>
    <w:rsid w:val="001246D2"/>
    <w:pPr>
      <w:spacing w:after="120"/>
      <w:jc w:val="both"/>
    </w:pPr>
    <w:rPr>
      <w:rFonts w:ascii="Century Gothic" w:hAnsi="Century Gothic"/>
      <w:b/>
      <w:sz w:val="18"/>
      <w:szCs w:val="22"/>
      <w:lang w:eastAsia="en-US"/>
    </w:rPr>
  </w:style>
  <w:style w:type="character" w:customStyle="1" w:styleId="NormalCenteredCar">
    <w:name w:val="Normal Centered Car"/>
    <w:basedOn w:val="Policepardfaut"/>
    <w:link w:val="NormalCentered"/>
    <w:rsid w:val="00563EFD"/>
    <w:rPr>
      <w:rFonts w:ascii="Century Gothic" w:hAnsi="Century Gothic"/>
      <w:sz w:val="32"/>
      <w:szCs w:val="22"/>
      <w:lang w:eastAsia="en-US"/>
    </w:rPr>
  </w:style>
  <w:style w:type="table" w:styleId="Grilledutableau">
    <w:name w:val="Table Grid"/>
    <w:basedOn w:val="TableauNormal"/>
    <w:uiPriority w:val="59"/>
    <w:rsid w:val="0091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Car">
    <w:name w:val="Normal Bold Car"/>
    <w:basedOn w:val="Policepardfaut"/>
    <w:link w:val="NormalBold"/>
    <w:rsid w:val="001246D2"/>
    <w:rPr>
      <w:rFonts w:ascii="Century Gothic" w:hAnsi="Century Gothic"/>
      <w:b/>
      <w:sz w:val="18"/>
      <w:szCs w:val="22"/>
      <w:lang w:eastAsia="en-US"/>
    </w:rPr>
  </w:style>
  <w:style w:type="paragraph" w:customStyle="1" w:styleId="NormalTableau">
    <w:name w:val="Normal Tableau"/>
    <w:basedOn w:val="Normal"/>
    <w:link w:val="NormalTableauCar"/>
    <w:qFormat/>
    <w:rsid w:val="0091484A"/>
  </w:style>
  <w:style w:type="paragraph" w:styleId="Textedebulles">
    <w:name w:val="Balloon Text"/>
    <w:basedOn w:val="Normal"/>
    <w:link w:val="TextedebullesCar"/>
    <w:uiPriority w:val="99"/>
    <w:semiHidden/>
    <w:unhideWhenUsed/>
    <w:rsid w:val="0091484A"/>
    <w:pPr>
      <w:spacing w:after="0"/>
    </w:pPr>
    <w:rPr>
      <w:rFonts w:ascii="Tahoma" w:hAnsi="Tahoma" w:cs="Tahoma"/>
      <w:sz w:val="16"/>
      <w:szCs w:val="16"/>
    </w:rPr>
  </w:style>
  <w:style w:type="character" w:customStyle="1" w:styleId="NormalTableauCar">
    <w:name w:val="Normal Tableau Car"/>
    <w:basedOn w:val="Policepardfaut"/>
    <w:link w:val="NormalTableau"/>
    <w:rsid w:val="0091484A"/>
    <w:rPr>
      <w:rFonts w:ascii="Century Gothic" w:hAnsi="Century Gothic"/>
      <w:sz w:val="18"/>
      <w:szCs w:val="22"/>
      <w:lang w:eastAsia="en-US"/>
    </w:rPr>
  </w:style>
  <w:style w:type="character" w:customStyle="1" w:styleId="TextedebullesCar">
    <w:name w:val="Texte de bulles Car"/>
    <w:basedOn w:val="Policepardfaut"/>
    <w:link w:val="Textedebulles"/>
    <w:uiPriority w:val="99"/>
    <w:semiHidden/>
    <w:rsid w:val="0091484A"/>
    <w:rPr>
      <w:rFonts w:ascii="Tahoma" w:hAnsi="Tahoma" w:cs="Tahoma"/>
      <w:sz w:val="16"/>
      <w:szCs w:val="16"/>
      <w:lang w:eastAsia="en-US"/>
    </w:rPr>
  </w:style>
  <w:style w:type="paragraph" w:customStyle="1" w:styleId="NormalHuge">
    <w:name w:val="Normal Huge"/>
    <w:basedOn w:val="Normal"/>
    <w:link w:val="NormalHugeCar"/>
    <w:qFormat/>
    <w:rsid w:val="00DB7096"/>
    <w:pPr>
      <w:spacing w:before="180" w:after="180"/>
      <w:jc w:val="both"/>
    </w:pPr>
  </w:style>
  <w:style w:type="character" w:styleId="Textedelespacerserv">
    <w:name w:val="Placeholder Text"/>
    <w:basedOn w:val="Policepardfaut"/>
    <w:uiPriority w:val="99"/>
    <w:semiHidden/>
    <w:rsid w:val="00CD5EDB"/>
    <w:rPr>
      <w:color w:val="808080"/>
    </w:rPr>
  </w:style>
  <w:style w:type="character" w:customStyle="1" w:styleId="NormalHugeCar">
    <w:name w:val="Normal Huge Car"/>
    <w:basedOn w:val="Policepardfaut"/>
    <w:link w:val="NormalHuge"/>
    <w:rsid w:val="00DB7096"/>
    <w:rPr>
      <w:rFonts w:ascii="Century Gothic" w:hAnsi="Century Gothic"/>
      <w:sz w:val="18"/>
      <w:szCs w:val="22"/>
      <w:lang w:eastAsia="en-US"/>
    </w:rPr>
  </w:style>
  <w:style w:type="paragraph" w:styleId="Paragraphedeliste">
    <w:name w:val="List Paragraph"/>
    <w:basedOn w:val="Normal"/>
    <w:link w:val="ParagraphedelisteCar"/>
    <w:uiPriority w:val="34"/>
    <w:qFormat/>
    <w:rsid w:val="00B73114"/>
    <w:pPr>
      <w:ind w:left="720"/>
      <w:contextualSpacing/>
    </w:pPr>
  </w:style>
  <w:style w:type="paragraph" w:styleId="En-tte">
    <w:name w:val="header"/>
    <w:basedOn w:val="Normal"/>
    <w:link w:val="En-tteCar"/>
    <w:uiPriority w:val="99"/>
    <w:unhideWhenUsed/>
    <w:rsid w:val="00B73114"/>
    <w:pPr>
      <w:tabs>
        <w:tab w:val="center" w:pos="4536"/>
        <w:tab w:val="right" w:pos="9072"/>
      </w:tabs>
      <w:spacing w:after="0"/>
    </w:pPr>
  </w:style>
  <w:style w:type="character" w:customStyle="1" w:styleId="En-tteCar">
    <w:name w:val="En-tête Car"/>
    <w:basedOn w:val="Policepardfaut"/>
    <w:link w:val="En-tte"/>
    <w:uiPriority w:val="99"/>
    <w:rsid w:val="00B73114"/>
    <w:rPr>
      <w:rFonts w:ascii="Century Gothic" w:hAnsi="Century Gothic"/>
      <w:sz w:val="18"/>
      <w:szCs w:val="22"/>
      <w:lang w:eastAsia="en-US"/>
    </w:rPr>
  </w:style>
  <w:style w:type="paragraph" w:styleId="Pieddepage">
    <w:name w:val="footer"/>
    <w:basedOn w:val="Normal"/>
    <w:link w:val="PieddepageCar"/>
    <w:uiPriority w:val="99"/>
    <w:unhideWhenUsed/>
    <w:rsid w:val="00B73114"/>
    <w:pPr>
      <w:tabs>
        <w:tab w:val="center" w:pos="4536"/>
        <w:tab w:val="right" w:pos="9072"/>
      </w:tabs>
      <w:spacing w:after="0"/>
    </w:pPr>
  </w:style>
  <w:style w:type="character" w:customStyle="1" w:styleId="PieddepageCar">
    <w:name w:val="Pied de page Car"/>
    <w:basedOn w:val="Policepardfaut"/>
    <w:link w:val="Pieddepage"/>
    <w:uiPriority w:val="99"/>
    <w:rsid w:val="00B73114"/>
    <w:rPr>
      <w:rFonts w:ascii="Century Gothic" w:hAnsi="Century Gothic"/>
      <w:sz w:val="18"/>
      <w:szCs w:val="22"/>
      <w:lang w:eastAsia="en-US"/>
    </w:rPr>
  </w:style>
  <w:style w:type="paragraph" w:customStyle="1" w:styleId="Articles">
    <w:name w:val="Articles"/>
    <w:next w:val="NormalHuge"/>
    <w:link w:val="ArticlesCar"/>
    <w:qFormat/>
    <w:rsid w:val="00F12727"/>
    <w:pPr>
      <w:numPr>
        <w:numId w:val="3"/>
      </w:numPr>
      <w:spacing w:before="240" w:after="240"/>
    </w:pPr>
    <w:rPr>
      <w:rFonts w:ascii="Century Gothic" w:hAnsi="Century Gothic"/>
      <w:b/>
      <w:caps/>
      <w:szCs w:val="22"/>
      <w:lang w:eastAsia="en-US"/>
    </w:rPr>
  </w:style>
  <w:style w:type="paragraph" w:styleId="Corpsdetexte2">
    <w:name w:val="Body Text 2"/>
    <w:basedOn w:val="Normal"/>
    <w:link w:val="Corpsdetexte2Car"/>
    <w:rsid w:val="00B52C43"/>
    <w:pPr>
      <w:spacing w:after="0"/>
      <w:jc w:val="both"/>
    </w:pPr>
    <w:rPr>
      <w:rFonts w:ascii="Arial" w:eastAsia="Times New Roman" w:hAnsi="Arial"/>
      <w:sz w:val="20"/>
      <w:szCs w:val="20"/>
      <w:lang w:eastAsia="fr-FR"/>
    </w:rPr>
  </w:style>
  <w:style w:type="character" w:customStyle="1" w:styleId="ParagraphedelisteCar">
    <w:name w:val="Paragraphe de liste Car"/>
    <w:basedOn w:val="Policepardfaut"/>
    <w:link w:val="Paragraphedeliste"/>
    <w:uiPriority w:val="34"/>
    <w:rsid w:val="00AF102A"/>
    <w:rPr>
      <w:rFonts w:ascii="Century Gothic" w:hAnsi="Century Gothic"/>
      <w:sz w:val="18"/>
      <w:szCs w:val="22"/>
      <w:lang w:eastAsia="en-US"/>
    </w:rPr>
  </w:style>
  <w:style w:type="character" w:customStyle="1" w:styleId="ArticlesCar">
    <w:name w:val="Articles Car"/>
    <w:basedOn w:val="ParagraphedelisteCar"/>
    <w:link w:val="Articles"/>
    <w:rsid w:val="00F12727"/>
    <w:rPr>
      <w:rFonts w:ascii="Century Gothic" w:hAnsi="Century Gothic"/>
      <w:b/>
      <w:caps/>
      <w:sz w:val="18"/>
      <w:szCs w:val="22"/>
      <w:lang w:eastAsia="en-US"/>
    </w:rPr>
  </w:style>
  <w:style w:type="character" w:customStyle="1" w:styleId="Corpsdetexte2Car">
    <w:name w:val="Corps de texte 2 Car"/>
    <w:basedOn w:val="Policepardfaut"/>
    <w:link w:val="Corpsdetexte2"/>
    <w:rsid w:val="00B52C43"/>
    <w:rPr>
      <w:rFonts w:ascii="Arial" w:eastAsia="Times New Roman" w:hAnsi="Arial"/>
    </w:rPr>
  </w:style>
  <w:style w:type="character" w:styleId="Lienhypertexte">
    <w:name w:val="Hyperlink"/>
    <w:basedOn w:val="Policepardfaut"/>
    <w:uiPriority w:val="99"/>
    <w:unhideWhenUsed/>
    <w:rsid w:val="00AD59A1"/>
    <w:rPr>
      <w:color w:val="581D74" w:themeColor="hyperlink"/>
      <w:u w:val="single"/>
    </w:rPr>
  </w:style>
  <w:style w:type="paragraph" w:customStyle="1" w:styleId="Puce">
    <w:name w:val="Puce"/>
    <w:basedOn w:val="Paragraphedeliste"/>
    <w:link w:val="PuceCar"/>
    <w:qFormat/>
    <w:rsid w:val="00E82800"/>
    <w:pPr>
      <w:numPr>
        <w:numId w:val="2"/>
      </w:numPr>
      <w:spacing w:before="120" w:after="120"/>
      <w:ind w:left="284" w:hanging="284"/>
      <w:contextualSpacing w:val="0"/>
    </w:pPr>
  </w:style>
  <w:style w:type="paragraph" w:customStyle="1" w:styleId="NormalTC">
    <w:name w:val="Normal TC"/>
    <w:basedOn w:val="NormalTableau"/>
    <w:link w:val="NormalTCCar"/>
    <w:qFormat/>
    <w:rsid w:val="00AD59A1"/>
    <w:pPr>
      <w:jc w:val="center"/>
    </w:pPr>
  </w:style>
  <w:style w:type="character" w:customStyle="1" w:styleId="PuceCar">
    <w:name w:val="Puce Car"/>
    <w:basedOn w:val="ParagraphedelisteCar"/>
    <w:link w:val="Puce"/>
    <w:rsid w:val="00E82800"/>
    <w:rPr>
      <w:rFonts w:ascii="Century Gothic" w:hAnsi="Century Gothic"/>
      <w:sz w:val="18"/>
      <w:szCs w:val="22"/>
      <w:lang w:eastAsia="en-US"/>
    </w:rPr>
  </w:style>
  <w:style w:type="paragraph" w:customStyle="1" w:styleId="Article2">
    <w:name w:val="Article 2"/>
    <w:basedOn w:val="Articles"/>
    <w:link w:val="Article2Car"/>
    <w:qFormat/>
    <w:rsid w:val="00E82800"/>
    <w:pPr>
      <w:numPr>
        <w:ilvl w:val="1"/>
      </w:numPr>
      <w:ind w:left="0" w:firstLine="0"/>
    </w:pPr>
    <w:rPr>
      <w:caps w:val="0"/>
    </w:rPr>
  </w:style>
  <w:style w:type="character" w:customStyle="1" w:styleId="NormalTCCar">
    <w:name w:val="Normal TC Car"/>
    <w:basedOn w:val="NormalTableauCar"/>
    <w:link w:val="NormalTC"/>
    <w:rsid w:val="00AD59A1"/>
    <w:rPr>
      <w:rFonts w:ascii="Century Gothic" w:hAnsi="Century Gothic"/>
      <w:sz w:val="18"/>
      <w:szCs w:val="22"/>
      <w:lang w:eastAsia="en-US"/>
    </w:rPr>
  </w:style>
  <w:style w:type="character" w:customStyle="1" w:styleId="Article2Car">
    <w:name w:val="Article 2 Car"/>
    <w:basedOn w:val="ArticlesCar"/>
    <w:link w:val="Article2"/>
    <w:rsid w:val="00E82800"/>
    <w:rPr>
      <w:rFonts w:ascii="Century Gothic" w:hAnsi="Century Gothic"/>
      <w:b/>
      <w:caps w:val="0"/>
      <w:sz w:val="18"/>
      <w:szCs w:val="22"/>
      <w:lang w:eastAsia="en-US"/>
    </w:rPr>
  </w:style>
  <w:style w:type="paragraph" w:styleId="Notedebasdepage">
    <w:name w:val="footnote text"/>
    <w:basedOn w:val="Normal"/>
    <w:link w:val="NotedebasdepageCar"/>
    <w:uiPriority w:val="99"/>
    <w:semiHidden/>
    <w:unhideWhenUsed/>
    <w:rsid w:val="00042106"/>
    <w:pPr>
      <w:spacing w:after="0"/>
    </w:pPr>
    <w:rPr>
      <w:sz w:val="20"/>
      <w:szCs w:val="20"/>
    </w:rPr>
  </w:style>
  <w:style w:type="character" w:customStyle="1" w:styleId="NotedebasdepageCar">
    <w:name w:val="Note de bas de page Car"/>
    <w:basedOn w:val="Policepardfaut"/>
    <w:link w:val="Notedebasdepage"/>
    <w:uiPriority w:val="99"/>
    <w:semiHidden/>
    <w:rsid w:val="00042106"/>
    <w:rPr>
      <w:rFonts w:ascii="Century Gothic" w:hAnsi="Century Gothic"/>
      <w:lang w:eastAsia="en-US"/>
    </w:rPr>
  </w:style>
  <w:style w:type="character" w:styleId="Appelnotedebasdep">
    <w:name w:val="footnote reference"/>
    <w:basedOn w:val="Policepardfaut"/>
    <w:uiPriority w:val="99"/>
    <w:semiHidden/>
    <w:unhideWhenUsed/>
    <w:rsid w:val="00042106"/>
    <w:rPr>
      <w:vertAlign w:val="superscript"/>
    </w:rPr>
  </w:style>
  <w:style w:type="character" w:styleId="Marquedecommentaire">
    <w:name w:val="annotation reference"/>
    <w:basedOn w:val="Policepardfaut"/>
    <w:uiPriority w:val="99"/>
    <w:semiHidden/>
    <w:unhideWhenUsed/>
    <w:rsid w:val="00691537"/>
    <w:rPr>
      <w:sz w:val="16"/>
      <w:szCs w:val="16"/>
    </w:rPr>
  </w:style>
  <w:style w:type="paragraph" w:styleId="Commentaire">
    <w:name w:val="annotation text"/>
    <w:basedOn w:val="Normal"/>
    <w:link w:val="CommentaireCar"/>
    <w:uiPriority w:val="99"/>
    <w:unhideWhenUsed/>
    <w:rsid w:val="00691537"/>
    <w:rPr>
      <w:sz w:val="20"/>
      <w:szCs w:val="20"/>
    </w:rPr>
  </w:style>
  <w:style w:type="character" w:customStyle="1" w:styleId="CommentaireCar">
    <w:name w:val="Commentaire Car"/>
    <w:basedOn w:val="Policepardfaut"/>
    <w:link w:val="Commentaire"/>
    <w:uiPriority w:val="99"/>
    <w:rsid w:val="00691537"/>
    <w:rPr>
      <w:rFonts w:ascii="Century Gothic" w:hAnsi="Century Gothic"/>
      <w:lang w:eastAsia="en-US"/>
    </w:rPr>
  </w:style>
  <w:style w:type="paragraph" w:styleId="Objetducommentaire">
    <w:name w:val="annotation subject"/>
    <w:basedOn w:val="Commentaire"/>
    <w:next w:val="Commentaire"/>
    <w:link w:val="ObjetducommentaireCar"/>
    <w:uiPriority w:val="99"/>
    <w:semiHidden/>
    <w:unhideWhenUsed/>
    <w:rsid w:val="00691537"/>
    <w:rPr>
      <w:b/>
      <w:bCs/>
    </w:rPr>
  </w:style>
  <w:style w:type="character" w:customStyle="1" w:styleId="ObjetducommentaireCar">
    <w:name w:val="Objet du commentaire Car"/>
    <w:basedOn w:val="CommentaireCar"/>
    <w:link w:val="Objetducommentaire"/>
    <w:uiPriority w:val="99"/>
    <w:semiHidden/>
    <w:rsid w:val="00691537"/>
    <w:rPr>
      <w:rFonts w:ascii="Century Gothic" w:hAnsi="Century Gothic"/>
      <w:b/>
      <w:bCs/>
      <w:lang w:eastAsia="en-US"/>
    </w:rPr>
  </w:style>
  <w:style w:type="paragraph" w:styleId="Corpsdetexte">
    <w:name w:val="Body Text"/>
    <w:basedOn w:val="Normal"/>
    <w:link w:val="CorpsdetexteCar"/>
    <w:uiPriority w:val="99"/>
    <w:semiHidden/>
    <w:unhideWhenUsed/>
    <w:rsid w:val="00B225F6"/>
    <w:pPr>
      <w:spacing w:after="120"/>
    </w:pPr>
  </w:style>
  <w:style w:type="character" w:customStyle="1" w:styleId="CorpsdetexteCar">
    <w:name w:val="Corps de texte Car"/>
    <w:basedOn w:val="Policepardfaut"/>
    <w:link w:val="Corpsdetexte"/>
    <w:uiPriority w:val="99"/>
    <w:semiHidden/>
    <w:rsid w:val="00B225F6"/>
    <w:rPr>
      <w:rFonts w:ascii="Century Gothic" w:hAnsi="Century Gothic"/>
      <w:sz w:val="18"/>
      <w:szCs w:val="22"/>
      <w:lang w:eastAsia="en-US"/>
    </w:rPr>
  </w:style>
  <w:style w:type="paragraph" w:styleId="Rvision">
    <w:name w:val="Revision"/>
    <w:hidden/>
    <w:uiPriority w:val="99"/>
    <w:semiHidden/>
    <w:rsid w:val="00D45D58"/>
    <w:rPr>
      <w:rFonts w:ascii="Century Gothic" w:hAnsi="Century Gothic"/>
      <w:sz w:val="18"/>
      <w:szCs w:val="22"/>
      <w:lang w:eastAsia="en-US"/>
    </w:rPr>
  </w:style>
  <w:style w:type="paragraph" w:styleId="Sansinterligne">
    <w:name w:val="No Spacing"/>
    <w:uiPriority w:val="1"/>
    <w:qFormat/>
    <w:rsid w:val="00E10DF7"/>
    <w:rPr>
      <w:rFonts w:asciiTheme="minorHAnsi" w:eastAsiaTheme="minorHAnsi" w:hAnsiTheme="minorHAnsi" w:cstheme="minorBidi"/>
      <w:sz w:val="22"/>
      <w:szCs w:val="22"/>
      <w:lang w:eastAsia="en-US"/>
    </w:rPr>
  </w:style>
  <w:style w:type="paragraph" w:customStyle="1" w:styleId="Default">
    <w:name w:val="Default"/>
    <w:rsid w:val="00874739"/>
    <w:pPr>
      <w:autoSpaceDE w:val="0"/>
      <w:autoSpaceDN w:val="0"/>
      <w:adjustRightInd w:val="0"/>
    </w:pPr>
    <w:rPr>
      <w:rFonts w:ascii="Alwyn New Lt" w:eastAsia="Times New Roman" w:hAnsi="Alwyn New Lt" w:cs="Alwyn New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28671">
      <w:bodyDiv w:val="1"/>
      <w:marLeft w:val="0"/>
      <w:marRight w:val="0"/>
      <w:marTop w:val="0"/>
      <w:marBottom w:val="0"/>
      <w:divBdr>
        <w:top w:val="none" w:sz="0" w:space="0" w:color="auto"/>
        <w:left w:val="none" w:sz="0" w:space="0" w:color="auto"/>
        <w:bottom w:val="none" w:sz="0" w:space="0" w:color="auto"/>
        <w:right w:val="none" w:sz="0" w:space="0" w:color="auto"/>
      </w:divBdr>
    </w:div>
    <w:div w:id="381714192">
      <w:bodyDiv w:val="1"/>
      <w:marLeft w:val="0"/>
      <w:marRight w:val="0"/>
      <w:marTop w:val="0"/>
      <w:marBottom w:val="0"/>
      <w:divBdr>
        <w:top w:val="none" w:sz="0" w:space="0" w:color="auto"/>
        <w:left w:val="none" w:sz="0" w:space="0" w:color="auto"/>
        <w:bottom w:val="none" w:sz="0" w:space="0" w:color="auto"/>
        <w:right w:val="none" w:sz="0" w:space="0" w:color="auto"/>
      </w:divBdr>
    </w:div>
    <w:div w:id="450517397">
      <w:bodyDiv w:val="1"/>
      <w:marLeft w:val="0"/>
      <w:marRight w:val="0"/>
      <w:marTop w:val="0"/>
      <w:marBottom w:val="0"/>
      <w:divBdr>
        <w:top w:val="none" w:sz="0" w:space="0" w:color="auto"/>
        <w:left w:val="none" w:sz="0" w:space="0" w:color="auto"/>
        <w:bottom w:val="none" w:sz="0" w:space="0" w:color="auto"/>
        <w:right w:val="none" w:sz="0" w:space="0" w:color="auto"/>
      </w:divBdr>
      <w:divsChild>
        <w:div w:id="1711876346">
          <w:marLeft w:val="0"/>
          <w:marRight w:val="0"/>
          <w:marTop w:val="0"/>
          <w:marBottom w:val="0"/>
          <w:divBdr>
            <w:top w:val="none" w:sz="0" w:space="0" w:color="auto"/>
            <w:left w:val="none" w:sz="0" w:space="0" w:color="auto"/>
            <w:bottom w:val="none" w:sz="0" w:space="0" w:color="auto"/>
            <w:right w:val="none" w:sz="0" w:space="0" w:color="auto"/>
          </w:divBdr>
          <w:divsChild>
            <w:div w:id="1559173428">
              <w:marLeft w:val="0"/>
              <w:marRight w:val="0"/>
              <w:marTop w:val="0"/>
              <w:marBottom w:val="0"/>
              <w:divBdr>
                <w:top w:val="none" w:sz="0" w:space="0" w:color="auto"/>
                <w:left w:val="none" w:sz="0" w:space="0" w:color="auto"/>
                <w:bottom w:val="none" w:sz="0" w:space="0" w:color="auto"/>
                <w:right w:val="none" w:sz="0" w:space="0" w:color="auto"/>
              </w:divBdr>
              <w:divsChild>
                <w:div w:id="1600485744">
                  <w:marLeft w:val="0"/>
                  <w:marRight w:val="0"/>
                  <w:marTop w:val="0"/>
                  <w:marBottom w:val="0"/>
                  <w:divBdr>
                    <w:top w:val="none" w:sz="0" w:space="0" w:color="auto"/>
                    <w:left w:val="none" w:sz="0" w:space="0" w:color="auto"/>
                    <w:bottom w:val="none" w:sz="0" w:space="0" w:color="auto"/>
                    <w:right w:val="none" w:sz="0" w:space="0" w:color="auto"/>
                  </w:divBdr>
                  <w:divsChild>
                    <w:div w:id="610943527">
                      <w:marLeft w:val="0"/>
                      <w:marRight w:val="0"/>
                      <w:marTop w:val="0"/>
                      <w:marBottom w:val="0"/>
                      <w:divBdr>
                        <w:top w:val="none" w:sz="0" w:space="0" w:color="auto"/>
                        <w:left w:val="none" w:sz="0" w:space="0" w:color="auto"/>
                        <w:bottom w:val="none" w:sz="0" w:space="0" w:color="auto"/>
                        <w:right w:val="none" w:sz="0" w:space="0" w:color="auto"/>
                      </w:divBdr>
                      <w:divsChild>
                        <w:div w:id="1838303591">
                          <w:marLeft w:val="0"/>
                          <w:marRight w:val="0"/>
                          <w:marTop w:val="0"/>
                          <w:marBottom w:val="0"/>
                          <w:divBdr>
                            <w:top w:val="none" w:sz="0" w:space="0" w:color="auto"/>
                            <w:left w:val="none" w:sz="0" w:space="0" w:color="auto"/>
                            <w:bottom w:val="none" w:sz="0" w:space="0" w:color="auto"/>
                            <w:right w:val="none" w:sz="0" w:space="0" w:color="auto"/>
                          </w:divBdr>
                          <w:divsChild>
                            <w:div w:id="2020351615">
                              <w:marLeft w:val="0"/>
                              <w:marRight w:val="0"/>
                              <w:marTop w:val="0"/>
                              <w:marBottom w:val="0"/>
                              <w:divBdr>
                                <w:top w:val="none" w:sz="0" w:space="0" w:color="auto"/>
                                <w:left w:val="none" w:sz="0" w:space="0" w:color="auto"/>
                                <w:bottom w:val="none" w:sz="0" w:space="0" w:color="auto"/>
                                <w:right w:val="none" w:sz="0" w:space="0" w:color="auto"/>
                              </w:divBdr>
                              <w:divsChild>
                                <w:div w:id="626815267">
                                  <w:marLeft w:val="0"/>
                                  <w:marRight w:val="0"/>
                                  <w:marTop w:val="0"/>
                                  <w:marBottom w:val="0"/>
                                  <w:divBdr>
                                    <w:top w:val="none" w:sz="0" w:space="0" w:color="auto"/>
                                    <w:left w:val="none" w:sz="0" w:space="0" w:color="auto"/>
                                    <w:bottom w:val="none" w:sz="0" w:space="0" w:color="auto"/>
                                    <w:right w:val="none" w:sz="0" w:space="0" w:color="auto"/>
                                  </w:divBdr>
                                  <w:divsChild>
                                    <w:div w:id="1286739967">
                                      <w:marLeft w:val="0"/>
                                      <w:marRight w:val="0"/>
                                      <w:marTop w:val="0"/>
                                      <w:marBottom w:val="0"/>
                                      <w:divBdr>
                                        <w:top w:val="none" w:sz="0" w:space="0" w:color="auto"/>
                                        <w:left w:val="none" w:sz="0" w:space="0" w:color="auto"/>
                                        <w:bottom w:val="none" w:sz="0" w:space="0" w:color="auto"/>
                                        <w:right w:val="none" w:sz="0" w:space="0" w:color="auto"/>
                                      </w:divBdr>
                                      <w:divsChild>
                                        <w:div w:id="827751565">
                                          <w:marLeft w:val="0"/>
                                          <w:marRight w:val="0"/>
                                          <w:marTop w:val="0"/>
                                          <w:marBottom w:val="0"/>
                                          <w:divBdr>
                                            <w:top w:val="none" w:sz="0" w:space="0" w:color="auto"/>
                                            <w:left w:val="none" w:sz="0" w:space="0" w:color="auto"/>
                                            <w:bottom w:val="none" w:sz="0" w:space="0" w:color="auto"/>
                                            <w:right w:val="none" w:sz="0" w:space="0" w:color="auto"/>
                                          </w:divBdr>
                                          <w:divsChild>
                                            <w:div w:id="198905875">
                                              <w:marLeft w:val="0"/>
                                              <w:marRight w:val="0"/>
                                              <w:marTop w:val="0"/>
                                              <w:marBottom w:val="0"/>
                                              <w:divBdr>
                                                <w:top w:val="none" w:sz="0" w:space="0" w:color="auto"/>
                                                <w:left w:val="none" w:sz="0" w:space="0" w:color="auto"/>
                                                <w:bottom w:val="none" w:sz="0" w:space="0" w:color="auto"/>
                                                <w:right w:val="none" w:sz="0" w:space="0" w:color="auto"/>
                                              </w:divBdr>
                                              <w:divsChild>
                                                <w:div w:id="678700342">
                                                  <w:marLeft w:val="0"/>
                                                  <w:marRight w:val="0"/>
                                                  <w:marTop w:val="0"/>
                                                  <w:marBottom w:val="0"/>
                                                  <w:divBdr>
                                                    <w:top w:val="none" w:sz="0" w:space="0" w:color="auto"/>
                                                    <w:left w:val="none" w:sz="0" w:space="0" w:color="auto"/>
                                                    <w:bottom w:val="none" w:sz="0" w:space="0" w:color="auto"/>
                                                    <w:right w:val="none" w:sz="0" w:space="0" w:color="auto"/>
                                                  </w:divBdr>
                                                  <w:divsChild>
                                                    <w:div w:id="15844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002809">
      <w:bodyDiv w:val="1"/>
      <w:marLeft w:val="0"/>
      <w:marRight w:val="0"/>
      <w:marTop w:val="0"/>
      <w:marBottom w:val="0"/>
      <w:divBdr>
        <w:top w:val="none" w:sz="0" w:space="0" w:color="auto"/>
        <w:left w:val="none" w:sz="0" w:space="0" w:color="auto"/>
        <w:bottom w:val="none" w:sz="0" w:space="0" w:color="auto"/>
        <w:right w:val="none" w:sz="0" w:space="0" w:color="auto"/>
      </w:divBdr>
    </w:div>
    <w:div w:id="716393852">
      <w:bodyDiv w:val="1"/>
      <w:marLeft w:val="0"/>
      <w:marRight w:val="0"/>
      <w:marTop w:val="0"/>
      <w:marBottom w:val="0"/>
      <w:divBdr>
        <w:top w:val="none" w:sz="0" w:space="0" w:color="auto"/>
        <w:left w:val="none" w:sz="0" w:space="0" w:color="auto"/>
        <w:bottom w:val="none" w:sz="0" w:space="0" w:color="auto"/>
        <w:right w:val="none" w:sz="0" w:space="0" w:color="auto"/>
      </w:divBdr>
    </w:div>
    <w:div w:id="925109969">
      <w:bodyDiv w:val="1"/>
      <w:marLeft w:val="0"/>
      <w:marRight w:val="0"/>
      <w:marTop w:val="0"/>
      <w:marBottom w:val="0"/>
      <w:divBdr>
        <w:top w:val="none" w:sz="0" w:space="0" w:color="auto"/>
        <w:left w:val="none" w:sz="0" w:space="0" w:color="auto"/>
        <w:bottom w:val="none" w:sz="0" w:space="0" w:color="auto"/>
        <w:right w:val="none" w:sz="0" w:space="0" w:color="auto"/>
      </w:divBdr>
    </w:div>
    <w:div w:id="1231575722">
      <w:bodyDiv w:val="1"/>
      <w:marLeft w:val="0"/>
      <w:marRight w:val="0"/>
      <w:marTop w:val="0"/>
      <w:marBottom w:val="0"/>
      <w:divBdr>
        <w:top w:val="none" w:sz="0" w:space="0" w:color="auto"/>
        <w:left w:val="none" w:sz="0" w:space="0" w:color="auto"/>
        <w:bottom w:val="none" w:sz="0" w:space="0" w:color="auto"/>
        <w:right w:val="none" w:sz="0" w:space="0" w:color="auto"/>
      </w:divBdr>
    </w:div>
    <w:div w:id="1276331067">
      <w:bodyDiv w:val="1"/>
      <w:marLeft w:val="0"/>
      <w:marRight w:val="0"/>
      <w:marTop w:val="0"/>
      <w:marBottom w:val="0"/>
      <w:divBdr>
        <w:top w:val="none" w:sz="0" w:space="0" w:color="auto"/>
        <w:left w:val="none" w:sz="0" w:space="0" w:color="auto"/>
        <w:bottom w:val="none" w:sz="0" w:space="0" w:color="auto"/>
        <w:right w:val="none" w:sz="0" w:space="0" w:color="auto"/>
      </w:divBdr>
      <w:divsChild>
        <w:div w:id="1722090061">
          <w:marLeft w:val="0"/>
          <w:marRight w:val="0"/>
          <w:marTop w:val="0"/>
          <w:marBottom w:val="0"/>
          <w:divBdr>
            <w:top w:val="none" w:sz="0" w:space="0" w:color="auto"/>
            <w:left w:val="none" w:sz="0" w:space="0" w:color="auto"/>
            <w:bottom w:val="none" w:sz="0" w:space="0" w:color="auto"/>
            <w:right w:val="none" w:sz="0" w:space="0" w:color="auto"/>
          </w:divBdr>
          <w:divsChild>
            <w:div w:id="1676348670">
              <w:marLeft w:val="0"/>
              <w:marRight w:val="0"/>
              <w:marTop w:val="0"/>
              <w:marBottom w:val="0"/>
              <w:divBdr>
                <w:top w:val="none" w:sz="0" w:space="0" w:color="auto"/>
                <w:left w:val="none" w:sz="0" w:space="0" w:color="auto"/>
                <w:bottom w:val="none" w:sz="0" w:space="0" w:color="auto"/>
                <w:right w:val="none" w:sz="0" w:space="0" w:color="auto"/>
              </w:divBdr>
              <w:divsChild>
                <w:div w:id="192769224">
                  <w:marLeft w:val="0"/>
                  <w:marRight w:val="0"/>
                  <w:marTop w:val="0"/>
                  <w:marBottom w:val="0"/>
                  <w:divBdr>
                    <w:top w:val="none" w:sz="0" w:space="0" w:color="auto"/>
                    <w:left w:val="none" w:sz="0" w:space="0" w:color="auto"/>
                    <w:bottom w:val="none" w:sz="0" w:space="0" w:color="auto"/>
                    <w:right w:val="none" w:sz="0" w:space="0" w:color="auto"/>
                  </w:divBdr>
                  <w:divsChild>
                    <w:div w:id="1359619398">
                      <w:marLeft w:val="0"/>
                      <w:marRight w:val="0"/>
                      <w:marTop w:val="0"/>
                      <w:marBottom w:val="0"/>
                      <w:divBdr>
                        <w:top w:val="none" w:sz="0" w:space="0" w:color="auto"/>
                        <w:left w:val="none" w:sz="0" w:space="0" w:color="auto"/>
                        <w:bottom w:val="none" w:sz="0" w:space="0" w:color="auto"/>
                        <w:right w:val="none" w:sz="0" w:space="0" w:color="auto"/>
                      </w:divBdr>
                      <w:divsChild>
                        <w:div w:id="914781735">
                          <w:marLeft w:val="0"/>
                          <w:marRight w:val="0"/>
                          <w:marTop w:val="0"/>
                          <w:marBottom w:val="0"/>
                          <w:divBdr>
                            <w:top w:val="none" w:sz="0" w:space="0" w:color="auto"/>
                            <w:left w:val="none" w:sz="0" w:space="0" w:color="auto"/>
                            <w:bottom w:val="none" w:sz="0" w:space="0" w:color="auto"/>
                            <w:right w:val="none" w:sz="0" w:space="0" w:color="auto"/>
                          </w:divBdr>
                          <w:divsChild>
                            <w:div w:id="475226147">
                              <w:marLeft w:val="0"/>
                              <w:marRight w:val="0"/>
                              <w:marTop w:val="0"/>
                              <w:marBottom w:val="0"/>
                              <w:divBdr>
                                <w:top w:val="none" w:sz="0" w:space="0" w:color="auto"/>
                                <w:left w:val="none" w:sz="0" w:space="0" w:color="auto"/>
                                <w:bottom w:val="none" w:sz="0" w:space="0" w:color="auto"/>
                                <w:right w:val="none" w:sz="0" w:space="0" w:color="auto"/>
                              </w:divBdr>
                              <w:divsChild>
                                <w:div w:id="1070537467">
                                  <w:marLeft w:val="0"/>
                                  <w:marRight w:val="0"/>
                                  <w:marTop w:val="0"/>
                                  <w:marBottom w:val="0"/>
                                  <w:divBdr>
                                    <w:top w:val="none" w:sz="0" w:space="0" w:color="auto"/>
                                    <w:left w:val="none" w:sz="0" w:space="0" w:color="auto"/>
                                    <w:bottom w:val="none" w:sz="0" w:space="0" w:color="auto"/>
                                    <w:right w:val="none" w:sz="0" w:space="0" w:color="auto"/>
                                  </w:divBdr>
                                  <w:divsChild>
                                    <w:div w:id="956370346">
                                      <w:marLeft w:val="0"/>
                                      <w:marRight w:val="0"/>
                                      <w:marTop w:val="0"/>
                                      <w:marBottom w:val="0"/>
                                      <w:divBdr>
                                        <w:top w:val="none" w:sz="0" w:space="0" w:color="auto"/>
                                        <w:left w:val="none" w:sz="0" w:space="0" w:color="auto"/>
                                        <w:bottom w:val="none" w:sz="0" w:space="0" w:color="auto"/>
                                        <w:right w:val="none" w:sz="0" w:space="0" w:color="auto"/>
                                      </w:divBdr>
                                      <w:divsChild>
                                        <w:div w:id="1207251933">
                                          <w:marLeft w:val="0"/>
                                          <w:marRight w:val="0"/>
                                          <w:marTop w:val="0"/>
                                          <w:marBottom w:val="0"/>
                                          <w:divBdr>
                                            <w:top w:val="none" w:sz="0" w:space="0" w:color="auto"/>
                                            <w:left w:val="none" w:sz="0" w:space="0" w:color="auto"/>
                                            <w:bottom w:val="none" w:sz="0" w:space="0" w:color="auto"/>
                                            <w:right w:val="none" w:sz="0" w:space="0" w:color="auto"/>
                                          </w:divBdr>
                                          <w:divsChild>
                                            <w:div w:id="1209489116">
                                              <w:marLeft w:val="0"/>
                                              <w:marRight w:val="0"/>
                                              <w:marTop w:val="0"/>
                                              <w:marBottom w:val="0"/>
                                              <w:divBdr>
                                                <w:top w:val="none" w:sz="0" w:space="0" w:color="auto"/>
                                                <w:left w:val="none" w:sz="0" w:space="0" w:color="auto"/>
                                                <w:bottom w:val="none" w:sz="0" w:space="0" w:color="auto"/>
                                                <w:right w:val="none" w:sz="0" w:space="0" w:color="auto"/>
                                              </w:divBdr>
                                              <w:divsChild>
                                                <w:div w:id="1092899591">
                                                  <w:marLeft w:val="0"/>
                                                  <w:marRight w:val="0"/>
                                                  <w:marTop w:val="0"/>
                                                  <w:marBottom w:val="0"/>
                                                  <w:divBdr>
                                                    <w:top w:val="none" w:sz="0" w:space="0" w:color="auto"/>
                                                    <w:left w:val="none" w:sz="0" w:space="0" w:color="auto"/>
                                                    <w:bottom w:val="none" w:sz="0" w:space="0" w:color="auto"/>
                                                    <w:right w:val="none" w:sz="0" w:space="0" w:color="auto"/>
                                                  </w:divBdr>
                                                  <w:divsChild>
                                                    <w:div w:id="12084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183025">
      <w:bodyDiv w:val="1"/>
      <w:marLeft w:val="0"/>
      <w:marRight w:val="0"/>
      <w:marTop w:val="0"/>
      <w:marBottom w:val="0"/>
      <w:divBdr>
        <w:top w:val="none" w:sz="0" w:space="0" w:color="auto"/>
        <w:left w:val="none" w:sz="0" w:space="0" w:color="auto"/>
        <w:bottom w:val="none" w:sz="0" w:space="0" w:color="auto"/>
        <w:right w:val="none" w:sz="0" w:space="0" w:color="auto"/>
      </w:divBdr>
    </w:div>
    <w:div w:id="1524246535">
      <w:bodyDiv w:val="1"/>
      <w:marLeft w:val="0"/>
      <w:marRight w:val="0"/>
      <w:marTop w:val="0"/>
      <w:marBottom w:val="0"/>
      <w:divBdr>
        <w:top w:val="none" w:sz="0" w:space="0" w:color="auto"/>
        <w:left w:val="none" w:sz="0" w:space="0" w:color="auto"/>
        <w:bottom w:val="none" w:sz="0" w:space="0" w:color="auto"/>
        <w:right w:val="none" w:sz="0" w:space="0" w:color="auto"/>
      </w:divBdr>
    </w:div>
    <w:div w:id="18860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PCE">
      <a:dk1>
        <a:sysClr val="windowText" lastClr="000000"/>
      </a:dk1>
      <a:lt1>
        <a:sysClr val="window" lastClr="FFFFFF"/>
      </a:lt1>
      <a:dk2>
        <a:srgbClr val="66747C"/>
      </a:dk2>
      <a:lt2>
        <a:srgbClr val="D7C5C9"/>
      </a:lt2>
      <a:accent1>
        <a:srgbClr val="581D74"/>
      </a:accent1>
      <a:accent2>
        <a:srgbClr val="99CC00"/>
      </a:accent2>
      <a:accent3>
        <a:srgbClr val="B0006C"/>
      </a:accent3>
      <a:accent4>
        <a:srgbClr val="A678AB"/>
      </a:accent4>
      <a:accent5>
        <a:srgbClr val="00798F"/>
      </a:accent5>
      <a:accent6>
        <a:srgbClr val="F47920"/>
      </a:accent6>
      <a:hlink>
        <a:srgbClr val="581D74"/>
      </a:hlink>
      <a:folHlink>
        <a:srgbClr val="B000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EC88-20E0-422C-88CD-48A4345A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23</Pages>
  <Words>11203</Words>
  <Characters>61619</Characters>
  <Application>Microsoft Office Word</Application>
  <DocSecurity>0</DocSecurity>
  <Lines>513</Lines>
  <Paragraphs>145</Paragraphs>
  <ScaleCrop>false</ScaleCrop>
  <HeadingPairs>
    <vt:vector size="2" baseType="variant">
      <vt:variant>
        <vt:lpstr>Titre</vt:lpstr>
      </vt:variant>
      <vt:variant>
        <vt:i4>1</vt:i4>
      </vt:variant>
    </vt:vector>
  </HeadingPairs>
  <TitlesOfParts>
    <vt:vector size="1" baseType="lpstr">
      <vt:lpstr/>
    </vt:vector>
  </TitlesOfParts>
  <Company>BPCE</Company>
  <LinksUpToDate>false</LinksUpToDate>
  <CharactersWithSpaces>72677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EVEILLARD Brice</dc:creator>
  <cp:lastModifiedBy>THIOLLIER Alain (BPRI)</cp:lastModifiedBy>
  <cp:revision>20</cp:revision>
  <dcterms:created xsi:type="dcterms:W3CDTF">2023-12-14T08:17:00Z</dcterms:created>
  <dcterms:modified xsi:type="dcterms:W3CDTF">2024-03-13T15:20:00Z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etDate">
    <vt:lpwstr>2023-10-20T08:27:10Z</vt:lpwstr>
  </property>
  <property fmtid="{D5CDD505-2E9C-101B-9397-08002B2CF9AE}" pid="4" name="MSIP_Label_48a19f0c-bea1-442e-a475-ed109d9ec508_Method">
    <vt:lpwstr>Standard</vt:lpwstr>
  </property>
  <property fmtid="{D5CDD505-2E9C-101B-9397-08002B2CF9AE}" pid="5" name="MSIP_Label_48a19f0c-bea1-442e-a475-ed109d9ec508_Name">
    <vt:lpwstr>48a19f0c-bea1-442e-a475-ed109d9ec508</vt:lpwstr>
  </property>
  <property fmtid="{D5CDD505-2E9C-101B-9397-08002B2CF9AE}" pid="6" name="MSIP_Label_48a19f0c-bea1-442e-a475-ed109d9ec508_SiteId">
    <vt:lpwstr>d5bb6d35-8a82-4329-b49a-5030bd6497ab</vt:lpwstr>
  </property>
  <property fmtid="{D5CDD505-2E9C-101B-9397-08002B2CF9AE}" pid="7" name="MSIP_Label_48a19f0c-bea1-442e-a475-ed109d9ec508_ContentBits">
    <vt:lpwstr>0</vt:lpwstr>
  </property>
</Properties>
</file>